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C44401" w14:paraId="3B3D23E9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464D49B" w14:textId="77777777" w:rsidR="00B92D0F" w:rsidRPr="00C44401" w:rsidRDefault="00B92D0F" w:rsidP="002E5B41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 w:rsidRPr="00C44401">
              <w:rPr>
                <w:rFonts w:ascii="PDF417x" w:hAnsi="PDF417x"/>
                <w:sz w:val="24"/>
                <w:szCs w:val="24"/>
              </w:rPr>
              <w:t>+*xfs*pvs*Akl*cvA*xBj*qkc*ogw*lmk*mhs*cEc*pBk*-</w:t>
            </w:r>
            <w:r w:rsidRPr="00C44401">
              <w:rPr>
                <w:rFonts w:ascii="PDF417x" w:hAnsi="PDF417x"/>
                <w:sz w:val="24"/>
                <w:szCs w:val="24"/>
              </w:rPr>
              <w:br/>
              <w:t>+*yqw*usc*jli*irs*ugc*xDg*snE*gjl*snc*xCc*zew*-</w:t>
            </w:r>
            <w:r w:rsidRPr="00C44401">
              <w:rPr>
                <w:rFonts w:ascii="PDF417x" w:hAnsi="PDF417x"/>
                <w:sz w:val="24"/>
                <w:szCs w:val="24"/>
              </w:rPr>
              <w:br/>
              <w:t>+*eDs*ors*lyd*lyd*lyd*mtz*Ahi*BCy*mFy*Boi*zfE*-</w:t>
            </w:r>
            <w:r w:rsidRPr="00C44401">
              <w:rPr>
                <w:rFonts w:ascii="PDF417x" w:hAnsi="PDF417x"/>
                <w:sz w:val="24"/>
                <w:szCs w:val="24"/>
              </w:rPr>
              <w:br/>
              <w:t>+*ftw*lhs*aaC*ksv*vgw*ytj*mai*CCk*lmB*hsg*onA*-</w:t>
            </w:r>
            <w:r w:rsidRPr="00C44401">
              <w:rPr>
                <w:rFonts w:ascii="PDF417x" w:hAnsi="PDF417x"/>
                <w:sz w:val="24"/>
                <w:szCs w:val="24"/>
              </w:rPr>
              <w:br/>
              <w:t>+*ftA*xgD*ysd*wEv*xjj*Ejn*wCl*juD*xcE*xlo*uws*-</w:t>
            </w:r>
            <w:r w:rsidRPr="00C44401">
              <w:rPr>
                <w:rFonts w:ascii="PDF417x" w:hAnsi="PDF417x"/>
                <w:sz w:val="24"/>
                <w:szCs w:val="24"/>
              </w:rPr>
              <w:br/>
              <w:t>+*xjq*fDw*kuy*szf*tdz*Aui*Aqz*uFz*zfB*Ahb*uzq*-</w:t>
            </w:r>
            <w:r w:rsidRPr="00C44401"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3397872C" w14:textId="77777777" w:rsidR="008C5FE5" w:rsidRPr="00C44401" w:rsidRDefault="008C5FE5" w:rsidP="00B92D0F">
      <w:pPr>
        <w:jc w:val="both"/>
        <w:rPr>
          <w:rFonts w:eastAsia="Times New Roman" w:cs="Times New Roman"/>
          <w:sz w:val="24"/>
          <w:szCs w:val="24"/>
        </w:rPr>
      </w:pPr>
    </w:p>
    <w:p w14:paraId="5729818B" w14:textId="77777777" w:rsidR="002E5B41" w:rsidRPr="00C44401" w:rsidRDefault="002E5B41" w:rsidP="00B92D0F">
      <w:pPr>
        <w:jc w:val="both"/>
        <w:rPr>
          <w:rFonts w:eastAsia="Times New Roman" w:cs="Times New Roman"/>
          <w:sz w:val="24"/>
          <w:szCs w:val="24"/>
        </w:rPr>
      </w:pPr>
    </w:p>
    <w:p w14:paraId="6E5B942D" w14:textId="77777777" w:rsidR="002E5B41" w:rsidRPr="00C44401" w:rsidRDefault="002E5B41" w:rsidP="00B92D0F">
      <w:pPr>
        <w:jc w:val="both"/>
        <w:rPr>
          <w:rFonts w:eastAsia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</w:tblGrid>
      <w:tr w:rsidR="002E5B41" w:rsidRPr="00C44401" w14:paraId="09324080" w14:textId="77777777" w:rsidTr="00E15F11">
        <w:tc>
          <w:tcPr>
            <w:tcW w:w="0" w:type="auto"/>
          </w:tcPr>
          <w:p w14:paraId="4A5064A7" w14:textId="5EB05866" w:rsidR="002E5B41" w:rsidRPr="00C44401" w:rsidRDefault="00E0122C" w:rsidP="00E012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440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        </w:t>
            </w:r>
            <w:r w:rsidR="002E5B41" w:rsidRPr="00C44401">
              <w:rPr>
                <w:sz w:val="24"/>
                <w:szCs w:val="24"/>
              </w:rPr>
              <w:drawing>
                <wp:inline distT="0" distB="0" distL="0" distR="0" wp14:anchorId="072AFEE7" wp14:editId="1781A495">
                  <wp:extent cx="445375" cy="605641"/>
                  <wp:effectExtent l="0" t="0" r="0" b="4445"/>
                  <wp:docPr id="1631000743" name="Picture 1631000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975" cy="62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B41" w:rsidRPr="00C44401" w14:paraId="4203EF73" w14:textId="77777777" w:rsidTr="00E15F11">
        <w:tc>
          <w:tcPr>
            <w:tcW w:w="0" w:type="auto"/>
          </w:tcPr>
          <w:p w14:paraId="67E11C34" w14:textId="77777777" w:rsidR="002E5B41" w:rsidRPr="00C44401" w:rsidRDefault="002E5B41" w:rsidP="00E15F11">
            <w:pPr>
              <w:jc w:val="center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lang w:eastAsia="hr-HR"/>
              </w:rPr>
            </w:pPr>
            <w:r w:rsidRPr="00C44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2E5B41" w:rsidRPr="00C44401" w14:paraId="7B3815DE" w14:textId="77777777" w:rsidTr="00E15F11">
        <w:tc>
          <w:tcPr>
            <w:tcW w:w="0" w:type="auto"/>
          </w:tcPr>
          <w:p w14:paraId="2C05F295" w14:textId="77777777" w:rsidR="002E5B41" w:rsidRPr="00C44401" w:rsidRDefault="002E5B41" w:rsidP="00E15F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C444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KRAPINSKO - ZAGORSKA ŽUPANIJA</w:t>
            </w:r>
          </w:p>
        </w:tc>
      </w:tr>
      <w:tr w:rsidR="002E5B41" w:rsidRPr="00C44401" w14:paraId="28E5E1CE" w14:textId="77777777" w:rsidTr="00E15F11">
        <w:tc>
          <w:tcPr>
            <w:tcW w:w="0" w:type="auto"/>
          </w:tcPr>
          <w:p w14:paraId="31ABDA63" w14:textId="77777777" w:rsidR="002E5B41" w:rsidRPr="00C44401" w:rsidRDefault="002E5B41" w:rsidP="00E15F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C444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OPĆINA KRAPINSKE TOPLICE</w:t>
            </w:r>
          </w:p>
        </w:tc>
      </w:tr>
      <w:tr w:rsidR="002E5B41" w:rsidRPr="00C44401" w14:paraId="28B9ED9E" w14:textId="77777777" w:rsidTr="00E15F11">
        <w:tc>
          <w:tcPr>
            <w:tcW w:w="0" w:type="auto"/>
          </w:tcPr>
          <w:p w14:paraId="16146D83" w14:textId="77777777" w:rsidR="002E5B41" w:rsidRPr="00C44401" w:rsidRDefault="002E5B41" w:rsidP="00E15F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C4440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OPĆINSKA NAČELNICA</w:t>
            </w:r>
          </w:p>
        </w:tc>
      </w:tr>
    </w:tbl>
    <w:p w14:paraId="7FDD949F" w14:textId="77777777" w:rsidR="002E5B41" w:rsidRPr="00C44401" w:rsidRDefault="002E5B41" w:rsidP="00276131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29B89E0" w14:textId="77777777" w:rsidR="00276131" w:rsidRPr="00C44401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C44401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KLASA: </w:t>
      </w:r>
      <w:r w:rsidRPr="00C4440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400-01/26-01/16 </w:t>
      </w:r>
      <w:r w:rsidRPr="00C44401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                                                </w:t>
      </w:r>
    </w:p>
    <w:p w14:paraId="540548CA" w14:textId="77777777" w:rsidR="00276131" w:rsidRPr="00C44401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C44401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URBROJ: </w:t>
      </w:r>
      <w:r w:rsidRPr="00C4440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2140-18-01-26-1</w:t>
      </w:r>
    </w:p>
    <w:p w14:paraId="69C6554E" w14:textId="77777777" w:rsidR="00276131" w:rsidRPr="00C44401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C44401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Krapinske Toplice, </w:t>
      </w:r>
      <w:r w:rsidRPr="00C4440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20.05.2026.</w:t>
      </w:r>
    </w:p>
    <w:p w14:paraId="2FD7BE47" w14:textId="77777777" w:rsidR="00E0122C" w:rsidRPr="00C44401" w:rsidRDefault="00E0122C" w:rsidP="00276131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04650363" w14:textId="77777777" w:rsidR="00E0122C" w:rsidRPr="00C44401" w:rsidRDefault="00E0122C" w:rsidP="00276131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460D8F0E" w14:textId="77777777" w:rsidR="009832AE" w:rsidRPr="00C44401" w:rsidRDefault="009832AE" w:rsidP="009832AE">
      <w:pPr>
        <w:ind w:left="4248" w:firstLine="708"/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b/>
          <w:bCs/>
          <w:noProof w:val="0"/>
          <w:sz w:val="24"/>
          <w:szCs w:val="24"/>
        </w:rPr>
        <w:t>OPĆINSKO VIJEĆE</w:t>
      </w:r>
    </w:p>
    <w:p w14:paraId="1135E3E8" w14:textId="77777777" w:rsidR="009832AE" w:rsidRPr="00C44401" w:rsidRDefault="009832AE" w:rsidP="009832AE">
      <w:pPr>
        <w:ind w:left="4956"/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b/>
          <w:bCs/>
          <w:noProof w:val="0"/>
          <w:sz w:val="24"/>
          <w:szCs w:val="24"/>
        </w:rPr>
        <w:t>OPĆINE KRAPINSKE TOPLICE</w:t>
      </w:r>
    </w:p>
    <w:p w14:paraId="5B74EA43" w14:textId="2D6587A5" w:rsidR="009832AE" w:rsidRPr="00C44401" w:rsidRDefault="009832AE" w:rsidP="009832AE">
      <w:pPr>
        <w:ind w:left="4248" w:firstLine="708"/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n/p </w:t>
      </w:r>
      <w:r w:rsidR="00E0122C" w:rsidRPr="00C44401">
        <w:rPr>
          <w:rFonts w:ascii="Times New Roman" w:hAnsi="Times New Roman" w:cs="Times New Roman"/>
          <w:b/>
          <w:bCs/>
          <w:noProof w:val="0"/>
          <w:sz w:val="24"/>
          <w:szCs w:val="24"/>
        </w:rPr>
        <w:t>P</w:t>
      </w:r>
      <w:r w:rsidRPr="00C44401">
        <w:rPr>
          <w:rFonts w:ascii="Times New Roman" w:hAnsi="Times New Roman" w:cs="Times New Roman"/>
          <w:b/>
          <w:bCs/>
          <w:noProof w:val="0"/>
          <w:sz w:val="24"/>
          <w:szCs w:val="24"/>
        </w:rPr>
        <w:t>redsjednika</w:t>
      </w:r>
    </w:p>
    <w:p w14:paraId="2F4BE1E9" w14:textId="77777777" w:rsidR="009832AE" w:rsidRPr="00C44401" w:rsidRDefault="009832AE" w:rsidP="009832AE">
      <w:pPr>
        <w:jc w:val="both"/>
        <w:rPr>
          <w:rFonts w:ascii="Times New Roman" w:hAnsi="Times New Roman" w:cs="Times New Roman"/>
          <w:b/>
          <w:i/>
          <w:noProof w:val="0"/>
          <w:sz w:val="24"/>
          <w:szCs w:val="24"/>
        </w:rPr>
      </w:pPr>
    </w:p>
    <w:p w14:paraId="0D266BC2" w14:textId="77777777" w:rsidR="009832AE" w:rsidRPr="00C44401" w:rsidRDefault="009832AE" w:rsidP="009832AE">
      <w:pPr>
        <w:jc w:val="both"/>
        <w:rPr>
          <w:rFonts w:ascii="Times New Roman" w:hAnsi="Times New Roman" w:cs="Times New Roman"/>
          <w:b/>
          <w:i/>
          <w:noProof w:val="0"/>
          <w:sz w:val="24"/>
          <w:szCs w:val="24"/>
        </w:rPr>
      </w:pPr>
    </w:p>
    <w:p w14:paraId="5A6799F8" w14:textId="77777777" w:rsidR="00E0122C" w:rsidRPr="00C44401" w:rsidRDefault="00E0122C" w:rsidP="009832AE">
      <w:pPr>
        <w:jc w:val="both"/>
        <w:rPr>
          <w:rFonts w:ascii="Times New Roman" w:hAnsi="Times New Roman" w:cs="Times New Roman"/>
          <w:b/>
          <w:i/>
          <w:noProof w:val="0"/>
          <w:sz w:val="24"/>
          <w:szCs w:val="24"/>
        </w:rPr>
      </w:pPr>
    </w:p>
    <w:p w14:paraId="1600A93A" w14:textId="77777777" w:rsidR="009832AE" w:rsidRPr="00C44401" w:rsidRDefault="009832AE" w:rsidP="009832AE">
      <w:pPr>
        <w:jc w:val="both"/>
        <w:rPr>
          <w:rFonts w:ascii="Times New Roman" w:hAnsi="Times New Roman" w:cs="Times New Roman"/>
          <w:bCs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b/>
          <w:noProof w:val="0"/>
          <w:sz w:val="24"/>
          <w:szCs w:val="24"/>
        </w:rPr>
        <w:t xml:space="preserve">PREDMET: </w:t>
      </w:r>
      <w:r w:rsidRPr="00C44401">
        <w:rPr>
          <w:rFonts w:ascii="Times New Roman" w:hAnsi="Times New Roman" w:cs="Times New Roman"/>
          <w:b/>
          <w:noProof w:val="0"/>
          <w:sz w:val="24"/>
          <w:szCs w:val="24"/>
        </w:rPr>
        <w:tab/>
      </w:r>
      <w:r w:rsidRPr="00C44401">
        <w:rPr>
          <w:rFonts w:ascii="Times New Roman" w:hAnsi="Times New Roman" w:cs="Times New Roman"/>
          <w:bCs/>
          <w:noProof w:val="0"/>
          <w:sz w:val="24"/>
          <w:szCs w:val="24"/>
        </w:rPr>
        <w:t xml:space="preserve">Obrazloženje uz I. izmjene i dopune Proračuna Općine Krapinske Toplice za </w:t>
      </w:r>
    </w:p>
    <w:p w14:paraId="3268CEF1" w14:textId="60A38305" w:rsidR="009832AE" w:rsidRPr="00C44401" w:rsidRDefault="009832AE" w:rsidP="009832AE">
      <w:pPr>
        <w:jc w:val="both"/>
        <w:rPr>
          <w:rFonts w:ascii="Times New Roman" w:hAnsi="Times New Roman" w:cs="Times New Roman"/>
          <w:bCs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bCs/>
          <w:noProof w:val="0"/>
          <w:sz w:val="24"/>
          <w:szCs w:val="24"/>
        </w:rPr>
        <w:t xml:space="preserve">                       </w:t>
      </w:r>
      <w:r w:rsidRPr="00C44401">
        <w:rPr>
          <w:rFonts w:ascii="Times New Roman" w:hAnsi="Times New Roman" w:cs="Times New Roman"/>
          <w:bCs/>
          <w:noProof w:val="0"/>
          <w:sz w:val="24"/>
          <w:szCs w:val="24"/>
        </w:rPr>
        <w:tab/>
        <w:t xml:space="preserve">2026. godinu i projekcije </w:t>
      </w:r>
      <w:r w:rsidR="00C44401" w:rsidRPr="00C44401">
        <w:rPr>
          <w:rFonts w:ascii="Times New Roman" w:hAnsi="Times New Roman" w:cs="Times New Roman"/>
          <w:bCs/>
          <w:noProof w:val="0"/>
          <w:sz w:val="24"/>
          <w:szCs w:val="24"/>
        </w:rPr>
        <w:t xml:space="preserve">plana </w:t>
      </w:r>
      <w:r w:rsidRPr="00C44401">
        <w:rPr>
          <w:rFonts w:ascii="Times New Roman" w:hAnsi="Times New Roman" w:cs="Times New Roman"/>
          <w:bCs/>
          <w:noProof w:val="0"/>
          <w:sz w:val="24"/>
          <w:szCs w:val="24"/>
        </w:rPr>
        <w:t>za 2027. i 2028. godinu</w:t>
      </w:r>
    </w:p>
    <w:p w14:paraId="79D7C837" w14:textId="77777777" w:rsidR="009832AE" w:rsidRPr="00C44401" w:rsidRDefault="009832AE" w:rsidP="009832AE">
      <w:pPr>
        <w:jc w:val="both"/>
        <w:rPr>
          <w:rFonts w:ascii="Times New Roman" w:hAnsi="Times New Roman" w:cs="Times New Roman"/>
          <w:b/>
          <w:i/>
          <w:noProof w:val="0"/>
          <w:sz w:val="24"/>
          <w:szCs w:val="24"/>
        </w:rPr>
      </w:pPr>
    </w:p>
    <w:p w14:paraId="6628EFEC" w14:textId="77777777" w:rsidR="009832AE" w:rsidRPr="00C44401" w:rsidRDefault="009832AE" w:rsidP="009832AE">
      <w:pPr>
        <w:jc w:val="both"/>
        <w:rPr>
          <w:rFonts w:ascii="Times New Roman" w:hAnsi="Times New Roman" w:cs="Times New Roman"/>
          <w:b/>
          <w:i/>
          <w:noProof w:val="0"/>
          <w:sz w:val="24"/>
          <w:szCs w:val="24"/>
        </w:rPr>
      </w:pPr>
    </w:p>
    <w:p w14:paraId="4B891A02" w14:textId="665E654C" w:rsidR="009832AE" w:rsidRPr="00C44401" w:rsidRDefault="009832AE" w:rsidP="00E0122C">
      <w:pPr>
        <w:ind w:right="72"/>
        <w:jc w:val="both"/>
        <w:rPr>
          <w:rFonts w:ascii="Times New Roman" w:hAnsi="Times New Roman" w:cs="Times New Roman"/>
          <w:bCs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bCs/>
          <w:noProof w:val="0"/>
          <w:sz w:val="24"/>
          <w:szCs w:val="24"/>
        </w:rPr>
        <w:tab/>
        <w:t xml:space="preserve">Na temelju članka 45. Zakona o proračunu („Narodne novine“, broj 144/21) i 40. Poslovnika o radu Općinskog vijeća Općine Krapinske Toplice </w:t>
      </w:r>
      <w:bookmarkStart w:id="1" w:name="_Hlk129873396"/>
      <w:bookmarkStart w:id="2" w:name="_Hlk114638724"/>
      <w:r w:rsidRPr="00C44401">
        <w:rPr>
          <w:rFonts w:ascii="Times New Roman" w:hAnsi="Times New Roman" w:cs="Times New Roman"/>
          <w:noProof w:val="0"/>
          <w:sz w:val="24"/>
          <w:szCs w:val="24"/>
        </w:rPr>
        <w:t>(„Službeni glasnik Krapinsko-zagorske županije“, broj 21/09, 14/12, 8A/13, 4/18, 13/20, 16/20 - pročišćeni tekst, 19b/21</w:t>
      </w:r>
      <w:bookmarkEnd w:id="1"/>
      <w:r w:rsidRPr="00C44401">
        <w:rPr>
          <w:rFonts w:ascii="Times New Roman" w:hAnsi="Times New Roman" w:cs="Times New Roman"/>
          <w:noProof w:val="0"/>
          <w:sz w:val="24"/>
          <w:szCs w:val="24"/>
        </w:rPr>
        <w:t>)</w:t>
      </w:r>
      <w:bookmarkEnd w:id="2"/>
      <w:r w:rsidRPr="00C44401">
        <w:rPr>
          <w:rFonts w:ascii="Times New Roman" w:hAnsi="Times New Roman" w:cs="Times New Roman"/>
          <w:bCs/>
          <w:noProof w:val="0"/>
          <w:sz w:val="24"/>
          <w:szCs w:val="24"/>
        </w:rPr>
        <w:t xml:space="preserve">, Općinskom vijeću Općine Krapinske Toplice podnosi se Obrazloženje uz I. izmjene i dopune Proračuna Općine Krapinske Toplice za 2026. godinu i projekcije </w:t>
      </w:r>
      <w:r w:rsidR="00C44401" w:rsidRPr="00C44401">
        <w:rPr>
          <w:rFonts w:ascii="Times New Roman" w:hAnsi="Times New Roman" w:cs="Times New Roman"/>
          <w:bCs/>
          <w:noProof w:val="0"/>
          <w:sz w:val="24"/>
          <w:szCs w:val="24"/>
        </w:rPr>
        <w:t xml:space="preserve">plana </w:t>
      </w:r>
      <w:r w:rsidRPr="00C44401">
        <w:rPr>
          <w:rFonts w:ascii="Times New Roman" w:hAnsi="Times New Roman" w:cs="Times New Roman"/>
          <w:bCs/>
          <w:noProof w:val="0"/>
          <w:sz w:val="24"/>
          <w:szCs w:val="24"/>
        </w:rPr>
        <w:t>za 2027. i 2028. godinu.</w:t>
      </w:r>
    </w:p>
    <w:p w14:paraId="65B7A06E" w14:textId="4E610620" w:rsidR="009832AE" w:rsidRPr="00C44401" w:rsidRDefault="009832AE" w:rsidP="00E0122C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noProof w:val="0"/>
          <w:sz w:val="24"/>
          <w:szCs w:val="24"/>
        </w:rPr>
        <w:t>Proračun Općine Krapinske Toplice za 2026. godinu i projekcija za razdoblje 2027. i 2028. godine donesen je na 6. sjednici Općinskog vijeća, održanoj 9. prosinca 2025. godine.</w:t>
      </w:r>
    </w:p>
    <w:p w14:paraId="509296C5" w14:textId="0BB0427E" w:rsidR="009832AE" w:rsidRPr="00C44401" w:rsidRDefault="009832AE" w:rsidP="00E0122C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noProof w:val="0"/>
          <w:sz w:val="24"/>
          <w:szCs w:val="24"/>
        </w:rPr>
        <w:t>Predložene I. Izmjene i dopune proračuna Općine Krapinske Toplice temelje</w:t>
      </w:r>
      <w:r w:rsidR="00C44401"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 se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 na izvršavanju proračunskih prihoda i primitaka, te rashoda i izdataka tekuće godine, a za pojedine aktivnosti i projekte predlaže se povećanje ili smanjenje izvora financiranja za iste.</w:t>
      </w:r>
    </w:p>
    <w:p w14:paraId="22AED23E" w14:textId="77777777" w:rsidR="009832AE" w:rsidRPr="00C44401" w:rsidRDefault="009832AE" w:rsidP="00E0122C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noProof w:val="0"/>
          <w:sz w:val="24"/>
          <w:szCs w:val="24"/>
        </w:rPr>
        <w:tab/>
        <w:t>Predložene I. Izmjene i dopune Proračuna Općine Krapinske Toplice za 2026. godinu sastoje se od:</w:t>
      </w:r>
    </w:p>
    <w:p w14:paraId="27C463B9" w14:textId="77777777" w:rsidR="009832AE" w:rsidRPr="00C44401" w:rsidRDefault="009832AE" w:rsidP="00E0122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noProof w:val="0"/>
          <w:sz w:val="24"/>
          <w:szCs w:val="24"/>
        </w:rPr>
        <w:t>općeg dijela proračuna</w:t>
      </w:r>
    </w:p>
    <w:p w14:paraId="343289D3" w14:textId="77777777" w:rsidR="009832AE" w:rsidRPr="00C44401" w:rsidRDefault="009832AE" w:rsidP="00E0122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noProof w:val="0"/>
          <w:sz w:val="24"/>
          <w:szCs w:val="24"/>
        </w:rPr>
        <w:t>posebnog dijela proračuna</w:t>
      </w:r>
    </w:p>
    <w:p w14:paraId="11DE206C" w14:textId="77777777" w:rsidR="009832AE" w:rsidRPr="00C44401" w:rsidRDefault="009832AE" w:rsidP="00E0122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noProof w:val="0"/>
          <w:sz w:val="24"/>
          <w:szCs w:val="24"/>
        </w:rPr>
        <w:t>obrazloženja općeg i posebnog dijela proračuna.</w:t>
      </w:r>
    </w:p>
    <w:p w14:paraId="118E8EA0" w14:textId="77777777" w:rsidR="009832AE" w:rsidRPr="00C44401" w:rsidRDefault="009832AE" w:rsidP="00E0122C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25025D3A" w14:textId="77777777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66BF5063" w14:textId="77777777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547BC965" w14:textId="77777777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2BEA02F5" w14:textId="77777777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4B802D9F" w14:textId="77777777" w:rsidR="009832AE" w:rsidRPr="00C44401" w:rsidRDefault="009832AE" w:rsidP="009832AE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3F8325AC" w14:textId="77777777" w:rsidR="00E0122C" w:rsidRPr="00C44401" w:rsidRDefault="00E0122C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303EADC5" w14:textId="77777777" w:rsidR="00C44401" w:rsidRPr="00C44401" w:rsidRDefault="00C44401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3872011E" w14:textId="111DCE61" w:rsidR="009832AE" w:rsidRPr="00C44401" w:rsidRDefault="009832AE" w:rsidP="009832AE">
      <w:pPr>
        <w:jc w:val="both"/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  <w:u w:val="single"/>
        </w:rPr>
      </w:pPr>
      <w:r w:rsidRPr="00C44401"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  <w:u w:val="single"/>
        </w:rPr>
        <w:t>OPĆI DIO</w:t>
      </w:r>
    </w:p>
    <w:p w14:paraId="08A19EBD" w14:textId="77777777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3B536D09" w14:textId="77777777" w:rsidR="009832AE" w:rsidRPr="00C44401" w:rsidRDefault="009832AE" w:rsidP="009832AE">
      <w:pPr>
        <w:jc w:val="both"/>
        <w:outlineLvl w:val="0"/>
        <w:rPr>
          <w:rFonts w:ascii="Times New Roman" w:hAnsi="Times New Roman" w:cs="Times New Roman"/>
          <w:b/>
          <w:noProof w:val="0"/>
          <w:sz w:val="24"/>
          <w:szCs w:val="24"/>
          <w:u w:val="single"/>
        </w:rPr>
      </w:pPr>
      <w:r w:rsidRPr="00C44401">
        <w:rPr>
          <w:rFonts w:ascii="Times New Roman" w:hAnsi="Times New Roman" w:cs="Times New Roman"/>
          <w:b/>
          <w:noProof w:val="0"/>
          <w:sz w:val="24"/>
          <w:szCs w:val="24"/>
        </w:rPr>
        <w:tab/>
      </w:r>
      <w:r w:rsidRPr="00C44401">
        <w:rPr>
          <w:rFonts w:ascii="Times New Roman" w:hAnsi="Times New Roman" w:cs="Times New Roman"/>
          <w:b/>
          <w:noProof w:val="0"/>
          <w:sz w:val="24"/>
          <w:szCs w:val="24"/>
          <w:u w:val="single"/>
        </w:rPr>
        <w:t>I.  PRIHODI I PRIMICI</w:t>
      </w:r>
    </w:p>
    <w:p w14:paraId="0A8ACAD7" w14:textId="77777777" w:rsidR="009832AE" w:rsidRPr="00C44401" w:rsidRDefault="009832AE" w:rsidP="009832AE">
      <w:pPr>
        <w:jc w:val="both"/>
        <w:rPr>
          <w:rFonts w:ascii="Times New Roman" w:hAnsi="Times New Roman" w:cs="Times New Roman"/>
          <w:b/>
          <w:noProof w:val="0"/>
          <w:sz w:val="24"/>
          <w:szCs w:val="24"/>
        </w:rPr>
      </w:pPr>
    </w:p>
    <w:p w14:paraId="0994420C" w14:textId="54F0EBD4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noProof w:val="0"/>
          <w:sz w:val="24"/>
          <w:szCs w:val="24"/>
        </w:rPr>
        <w:tab/>
        <w:t xml:space="preserve">Ovim Izmjenama i dopunama Proračuna predlaže se smanjenje prihodovne strane proračuna za 1.610.117,92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, na iznos od 12.265.492,98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>, a prikaz povećanja/smanjenja daje se u nastavku:</w:t>
      </w:r>
    </w:p>
    <w:p w14:paraId="17B672B8" w14:textId="77777777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26"/>
        <w:gridCol w:w="3402"/>
        <w:gridCol w:w="2126"/>
        <w:gridCol w:w="1701"/>
        <w:gridCol w:w="1984"/>
      </w:tblGrid>
      <w:tr w:rsidR="009832AE" w:rsidRPr="00C44401" w14:paraId="1A451403" w14:textId="77777777" w:rsidTr="00C44401">
        <w:trPr>
          <w:trHeight w:val="233"/>
        </w:trPr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14:paraId="4D5BC4B3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vAlign w:val="center"/>
          </w:tcPr>
          <w:p w14:paraId="5495E849" w14:textId="77777777" w:rsidR="009832AE" w:rsidRPr="00C44401" w:rsidRDefault="009832AE" w:rsidP="00653E87">
            <w:pPr>
              <w:rPr>
                <w:rFonts w:ascii="Times New Roman" w:hAnsi="Times New Roman" w:cs="Times New Roman"/>
                <w:noProof w:val="0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vAlign w:val="center"/>
          </w:tcPr>
          <w:p w14:paraId="15FD0985" w14:textId="77777777" w:rsidR="009832AE" w:rsidRPr="00C44401" w:rsidRDefault="009832AE" w:rsidP="00653E87">
            <w:pPr>
              <w:rPr>
                <w:rFonts w:ascii="Times New Roman" w:hAnsi="Times New Roman" w:cs="Times New Roman"/>
                <w:noProof w:val="0"/>
                <w:sz w:val="24"/>
                <w:szCs w:val="24"/>
                <w:u w:val="single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762F45B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  <w:u w:val="single"/>
              </w:rPr>
            </w:pPr>
          </w:p>
        </w:tc>
      </w:tr>
      <w:tr w:rsidR="009832AE" w:rsidRPr="00C44401" w14:paraId="14DB0425" w14:textId="77777777" w:rsidTr="00C44401">
        <w:trPr>
          <w:trHeight w:val="533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671D7F78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71B00A43" w14:textId="77777777" w:rsidR="009832AE" w:rsidRPr="00C44401" w:rsidRDefault="009832AE" w:rsidP="00653E87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Opis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0986AD38" w14:textId="08C3017F" w:rsidR="009832AE" w:rsidRPr="00C44401" w:rsidRDefault="009832AE" w:rsidP="00653E87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Plan za 2026. godinu</w:t>
            </w:r>
            <w:r w:rsid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 xml:space="preserve"> (u eurima)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278F07DE" w14:textId="77777777" w:rsidR="00C44401" w:rsidRDefault="009832AE" w:rsidP="00653E87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Promjena</w:t>
            </w:r>
            <w:r w:rsid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 xml:space="preserve"> </w:t>
            </w:r>
          </w:p>
          <w:p w14:paraId="0EB00102" w14:textId="6AB4723A" w:rsidR="009832AE" w:rsidRPr="00C44401" w:rsidRDefault="00C44401" w:rsidP="00653E87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(u eurima)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32508327" w14:textId="77777777" w:rsidR="00C44401" w:rsidRDefault="009832AE" w:rsidP="00653E87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Novi plan za 2026. godinu</w:t>
            </w:r>
            <w:r w:rsid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 xml:space="preserve"> </w:t>
            </w:r>
          </w:p>
          <w:p w14:paraId="11235E08" w14:textId="352D9F99" w:rsidR="009832AE" w:rsidRPr="00C44401" w:rsidRDefault="00C44401" w:rsidP="00653E87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(u eurima)</w:t>
            </w:r>
          </w:p>
        </w:tc>
      </w:tr>
      <w:tr w:rsidR="009832AE" w:rsidRPr="00C44401" w14:paraId="53464CD3" w14:textId="77777777" w:rsidTr="00C44401">
        <w:trPr>
          <w:trHeight w:val="33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AAB80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21FD9" w14:textId="77777777" w:rsidR="009832AE" w:rsidRPr="00C44401" w:rsidRDefault="009832AE" w:rsidP="00653E87">
            <w:pPr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Prihodi od poreza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21C9336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4.319.380,85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5D484E1D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9E9A406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4.319.380,85</w:t>
            </w:r>
          </w:p>
        </w:tc>
      </w:tr>
      <w:tr w:rsidR="009832AE" w:rsidRPr="00C44401" w14:paraId="6CC63DE7" w14:textId="77777777" w:rsidTr="00C44401">
        <w:trPr>
          <w:trHeight w:val="44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E21E7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7804D" w14:textId="77777777" w:rsidR="009832AE" w:rsidRPr="00C44401" w:rsidRDefault="009832AE" w:rsidP="00653E87">
            <w:pPr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Pomoći iz inozemstva i od subjekata unutar općeg proračuna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7B1B43C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5.689.385,65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675C265B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-1.562.220,89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538529D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4.127.164,76</w:t>
            </w:r>
          </w:p>
        </w:tc>
      </w:tr>
      <w:tr w:rsidR="009832AE" w:rsidRPr="00C44401" w14:paraId="32F9DF5B" w14:textId="77777777" w:rsidTr="00C44401">
        <w:trPr>
          <w:trHeight w:val="32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1C434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0A6FA" w14:textId="77777777" w:rsidR="009832AE" w:rsidRPr="00C44401" w:rsidRDefault="009832AE" w:rsidP="00653E87">
            <w:pPr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Prihodi od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3E2A57A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145.030,00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08F31F4D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23.000,00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204889D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168.030,00</w:t>
            </w:r>
          </w:p>
        </w:tc>
      </w:tr>
      <w:tr w:rsidR="009832AE" w:rsidRPr="00C44401" w14:paraId="5EDE2CDD" w14:textId="77777777" w:rsidTr="00C44401">
        <w:trPr>
          <w:trHeight w:val="444"/>
        </w:trPr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14:paraId="36FA6453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vAlign w:val="center"/>
          </w:tcPr>
          <w:p w14:paraId="3EE79BD2" w14:textId="77777777" w:rsidR="009832AE" w:rsidRPr="00C44401" w:rsidRDefault="009832AE" w:rsidP="00653E87">
            <w:pPr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Prihodi od upravnih i administrativnih pristojbi, pristojbi po posebnim propisima i naknada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14:paraId="56518EB2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856.700,00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E0E0E0"/>
          </w:tcPr>
          <w:p w14:paraId="11DC207A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13.495,00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14:paraId="44D6ABAE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870.195,00</w:t>
            </w:r>
          </w:p>
          <w:p w14:paraId="7A85175C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9832AE" w:rsidRPr="00C44401" w14:paraId="1FB76FC5" w14:textId="77777777" w:rsidTr="00C44401">
        <w:trPr>
          <w:trHeight w:val="444"/>
        </w:trPr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14:paraId="0C6C11A6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vAlign w:val="center"/>
          </w:tcPr>
          <w:p w14:paraId="28EDCE58" w14:textId="77777777" w:rsidR="009832AE" w:rsidRPr="00C44401" w:rsidRDefault="009832AE" w:rsidP="00653E87">
            <w:pPr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Prihodi od prodaje proizvoda i robe te pruženih usluga, prihodi od donacija te povrati po protestiranim jamstvima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14:paraId="4611D2EC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E0E0E0"/>
          </w:tcPr>
          <w:p w14:paraId="34D5701E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14:paraId="7B3AF434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500,00</w:t>
            </w:r>
          </w:p>
        </w:tc>
      </w:tr>
      <w:tr w:rsidR="009832AE" w:rsidRPr="00C44401" w14:paraId="7A3322FA" w14:textId="77777777" w:rsidTr="00C44401">
        <w:trPr>
          <w:trHeight w:val="328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479C3A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4137BB" w14:textId="77777777" w:rsidR="009832AE" w:rsidRPr="00C44401" w:rsidRDefault="009832AE" w:rsidP="00653E87">
            <w:pPr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Kazne, upravne mjere i ostali prihodi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03F8E6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14.700,00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14:paraId="3D703B9D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ABC862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14.700,00</w:t>
            </w:r>
          </w:p>
        </w:tc>
      </w:tr>
      <w:tr w:rsidR="009832AE" w:rsidRPr="00C44401" w14:paraId="2AAFA5D7" w14:textId="77777777" w:rsidTr="00C44401">
        <w:trPr>
          <w:trHeight w:val="429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6D1C6AF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08BFF6C7" w14:textId="77777777" w:rsidR="009832AE" w:rsidRPr="00C44401" w:rsidRDefault="009832AE" w:rsidP="00653E87">
            <w:pPr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UKUPNO prihodi poslovanja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476AE38B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11.025.696,50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6AA82EA0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-1.525.725,89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511195E0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9.499.970,61</w:t>
            </w:r>
          </w:p>
        </w:tc>
      </w:tr>
      <w:tr w:rsidR="009832AE" w:rsidRPr="00C44401" w14:paraId="6FBCF238" w14:textId="77777777" w:rsidTr="00C44401">
        <w:trPr>
          <w:trHeight w:val="451"/>
        </w:trPr>
        <w:tc>
          <w:tcPr>
            <w:tcW w:w="426" w:type="dxa"/>
            <w:tcBorders>
              <w:left w:val="nil"/>
              <w:bottom w:val="nil"/>
            </w:tcBorders>
            <w:vAlign w:val="center"/>
          </w:tcPr>
          <w:p w14:paraId="2F79FF6D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648B5A9" w14:textId="77777777" w:rsidR="009832AE" w:rsidRPr="00C44401" w:rsidRDefault="009832AE" w:rsidP="00653E87">
            <w:pPr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Prihodi od prodaje proizvedene dugotrajne imovine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14:paraId="5E6E1605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5.000,00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14:paraId="404FA0F2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</w:tcPr>
          <w:p w14:paraId="49DE49AB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5.000,00</w:t>
            </w:r>
          </w:p>
        </w:tc>
      </w:tr>
      <w:tr w:rsidR="009832AE" w:rsidRPr="00C44401" w14:paraId="66763402" w14:textId="77777777" w:rsidTr="00C44401">
        <w:trPr>
          <w:trHeight w:val="451"/>
        </w:trPr>
        <w:tc>
          <w:tcPr>
            <w:tcW w:w="426" w:type="dxa"/>
            <w:tcBorders>
              <w:left w:val="nil"/>
              <w:bottom w:val="nil"/>
            </w:tcBorders>
            <w:vAlign w:val="center"/>
          </w:tcPr>
          <w:p w14:paraId="3EA54B06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663C089C" w14:textId="77777777" w:rsidR="009832AE" w:rsidRPr="00C44401" w:rsidRDefault="009832AE" w:rsidP="00653E87">
            <w:pPr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 xml:space="preserve">UKUPNO prihodi od </w:t>
            </w:r>
            <w:proofErr w:type="spellStart"/>
            <w:r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nefincijske</w:t>
            </w:r>
            <w:proofErr w:type="spellEnd"/>
            <w:r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 xml:space="preserve"> imovine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2323F0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67266ACD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DC38A7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5.000,00</w:t>
            </w:r>
          </w:p>
        </w:tc>
      </w:tr>
      <w:tr w:rsidR="009832AE" w:rsidRPr="00C44401" w14:paraId="55F523AC" w14:textId="77777777" w:rsidTr="00C44401">
        <w:trPr>
          <w:trHeight w:val="46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62CA8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6ADC1381" w14:textId="77777777" w:rsidR="009832AE" w:rsidRPr="00C44401" w:rsidRDefault="009832AE" w:rsidP="00653E87">
            <w:pPr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Primici od zaduživanja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519FA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2.843.414,40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4B2244B1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1.036.823,51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20EF7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3.880.237,91</w:t>
            </w:r>
          </w:p>
        </w:tc>
      </w:tr>
      <w:tr w:rsidR="009832AE" w:rsidRPr="00C44401" w14:paraId="6BEF9792" w14:textId="77777777" w:rsidTr="00C44401">
        <w:trPr>
          <w:trHeight w:val="429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6666C2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81022F" w14:textId="77777777" w:rsidR="009832AE" w:rsidRPr="00C44401" w:rsidRDefault="009832AE" w:rsidP="00653E87">
            <w:pPr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UKUPNO primici od financijske imovine i zaduživanja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3D9985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2.843.414,40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693751FD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1.036.823,51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514C7A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3.880.237,91</w:t>
            </w:r>
          </w:p>
        </w:tc>
      </w:tr>
      <w:tr w:rsidR="009832AE" w:rsidRPr="00C44401" w14:paraId="63ED3212" w14:textId="77777777" w:rsidTr="00C44401">
        <w:trPr>
          <w:trHeight w:val="429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969F2B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651A72" w14:textId="77777777" w:rsidR="009832AE" w:rsidRPr="00C44401" w:rsidRDefault="009832AE" w:rsidP="00653E87">
            <w:pPr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Rezultat poslovanja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B481D9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1.500,00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7EE63406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-1.121.215,54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66D459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-1.119.715,54</w:t>
            </w:r>
          </w:p>
        </w:tc>
      </w:tr>
      <w:tr w:rsidR="009832AE" w:rsidRPr="00C44401" w14:paraId="5CF7DC37" w14:textId="77777777" w:rsidTr="00C44401">
        <w:trPr>
          <w:trHeight w:val="429"/>
        </w:trPr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0E0E0"/>
            <w:vAlign w:val="center"/>
          </w:tcPr>
          <w:p w14:paraId="1DA6D148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b/>
                <w:bCs/>
                <w:i/>
                <w:noProof w:val="0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0E0E0"/>
            <w:vAlign w:val="center"/>
          </w:tcPr>
          <w:p w14:paraId="23B76A7C" w14:textId="77777777" w:rsidR="009832AE" w:rsidRPr="00C44401" w:rsidRDefault="009832AE" w:rsidP="00653E87">
            <w:pPr>
              <w:jc w:val="center"/>
              <w:rPr>
                <w:rFonts w:ascii="Times New Roman" w:hAnsi="Times New Roman" w:cs="Times New Roman"/>
                <w:b/>
                <w:bCs/>
                <w:i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b/>
                <w:bCs/>
                <w:i/>
                <w:noProof w:val="0"/>
                <w:sz w:val="24"/>
                <w:szCs w:val="24"/>
              </w:rPr>
              <w:t>SVEUKUPNO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0E0E0"/>
            <w:vAlign w:val="center"/>
          </w:tcPr>
          <w:p w14:paraId="4E7CDAC8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b/>
                <w:bCs/>
                <w:i/>
                <w:iCs/>
                <w:noProof w:val="0"/>
                <w:sz w:val="24"/>
                <w:szCs w:val="24"/>
              </w:rPr>
              <w:t>13 .875.610,90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0E0E0"/>
            <w:vAlign w:val="center"/>
          </w:tcPr>
          <w:p w14:paraId="26E20C4A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b/>
                <w:bCs/>
                <w:i/>
                <w:iCs/>
                <w:noProof w:val="0"/>
                <w:sz w:val="24"/>
                <w:szCs w:val="24"/>
              </w:rPr>
              <w:t>-1.610.117,92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0E0E0"/>
            <w:vAlign w:val="center"/>
          </w:tcPr>
          <w:p w14:paraId="48FE405C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b/>
                <w:bCs/>
                <w:i/>
                <w:iCs/>
                <w:noProof w:val="0"/>
                <w:sz w:val="24"/>
                <w:szCs w:val="24"/>
              </w:rPr>
              <w:t>12.265.492,98</w:t>
            </w:r>
          </w:p>
        </w:tc>
      </w:tr>
    </w:tbl>
    <w:p w14:paraId="2BC81F2B" w14:textId="77777777" w:rsidR="009832AE" w:rsidRPr="00C44401" w:rsidRDefault="009832AE" w:rsidP="009832AE">
      <w:pPr>
        <w:ind w:firstLine="708"/>
        <w:jc w:val="both"/>
        <w:outlineLvl w:val="0"/>
        <w:rPr>
          <w:rFonts w:ascii="Times New Roman" w:hAnsi="Times New Roman" w:cs="Times New Roman"/>
          <w:noProof w:val="0"/>
          <w:sz w:val="24"/>
          <w:szCs w:val="24"/>
        </w:rPr>
      </w:pPr>
    </w:p>
    <w:p w14:paraId="376091C2" w14:textId="797041FB" w:rsidR="009832AE" w:rsidRPr="00C44401" w:rsidRDefault="009832AE" w:rsidP="009832AE">
      <w:pPr>
        <w:ind w:firstLine="708"/>
        <w:jc w:val="both"/>
        <w:outlineLvl w:val="0"/>
        <w:rPr>
          <w:rFonts w:ascii="Times New Roman" w:hAnsi="Times New Roman" w:cs="Times New Roman"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Kao i u dosadašnjem planu </w:t>
      </w:r>
      <w:r w:rsidR="00C44401" w:rsidRPr="00C44401">
        <w:rPr>
          <w:rFonts w:ascii="Times New Roman" w:hAnsi="Times New Roman" w:cs="Times New Roman"/>
          <w:noProof w:val="0"/>
          <w:sz w:val="24"/>
          <w:szCs w:val="24"/>
        </w:rPr>
        <w:t>P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>roračuna Općine Krapinske Toplice u ukupnoj strukturi prihoda i primitaka najveći udio u ukupnim prihodima i primicima čine prihodi poslovanja sa 77,45 %, 0,04 % čine prihodi od prodaje nefinancijske imovine,</w:t>
      </w:r>
      <w:r w:rsidR="00C44401"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 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 primici od financijske imovine i zaduživanja čine 31,63 %. </w:t>
      </w:r>
    </w:p>
    <w:p w14:paraId="0EC490DA" w14:textId="77777777" w:rsidR="009832AE" w:rsidRPr="00C44401" w:rsidRDefault="009832AE" w:rsidP="009832AE">
      <w:pPr>
        <w:ind w:firstLine="708"/>
        <w:jc w:val="both"/>
        <w:outlineLvl w:val="0"/>
        <w:rPr>
          <w:rFonts w:ascii="Times New Roman" w:hAnsi="Times New Roman" w:cs="Times New Roman"/>
          <w:b/>
          <w:noProof w:val="0"/>
          <w:sz w:val="24"/>
          <w:szCs w:val="24"/>
        </w:rPr>
      </w:pPr>
    </w:p>
    <w:p w14:paraId="6CDF1B44" w14:textId="77777777" w:rsidR="009832AE" w:rsidRPr="00C44401" w:rsidRDefault="009832AE" w:rsidP="009832AE">
      <w:pPr>
        <w:ind w:firstLine="708"/>
        <w:jc w:val="both"/>
        <w:outlineLvl w:val="0"/>
        <w:rPr>
          <w:rFonts w:ascii="Times New Roman" w:hAnsi="Times New Roman" w:cs="Times New Roman"/>
          <w:b/>
          <w:noProof w:val="0"/>
          <w:sz w:val="24"/>
          <w:szCs w:val="24"/>
        </w:rPr>
      </w:pPr>
    </w:p>
    <w:p w14:paraId="46260021" w14:textId="77777777" w:rsidR="009832AE" w:rsidRPr="00C44401" w:rsidRDefault="009832AE" w:rsidP="009832AE">
      <w:pPr>
        <w:ind w:firstLine="708"/>
        <w:jc w:val="both"/>
        <w:outlineLvl w:val="0"/>
        <w:rPr>
          <w:rFonts w:ascii="Times New Roman" w:hAnsi="Times New Roman" w:cs="Times New Roman"/>
          <w:b/>
          <w:noProof w:val="0"/>
          <w:sz w:val="24"/>
          <w:szCs w:val="24"/>
        </w:rPr>
      </w:pPr>
    </w:p>
    <w:p w14:paraId="3ADFD8B7" w14:textId="77777777" w:rsidR="009832AE" w:rsidRPr="00C44401" w:rsidRDefault="009832AE" w:rsidP="009832AE">
      <w:pPr>
        <w:jc w:val="both"/>
        <w:rPr>
          <w:rFonts w:ascii="Times New Roman" w:hAnsi="Times New Roman" w:cs="Times New Roman"/>
          <w:b/>
          <w:noProof w:val="0"/>
          <w:sz w:val="24"/>
          <w:szCs w:val="24"/>
          <w:u w:val="single"/>
        </w:rPr>
      </w:pPr>
      <w:r w:rsidRPr="00C44401">
        <w:rPr>
          <w:rFonts w:ascii="Times New Roman" w:hAnsi="Times New Roman" w:cs="Times New Roman"/>
          <w:noProof w:val="0"/>
          <w:sz w:val="24"/>
          <w:szCs w:val="24"/>
        </w:rPr>
        <w:lastRenderedPageBreak/>
        <w:tab/>
      </w:r>
      <w:r w:rsidRPr="00C44401">
        <w:rPr>
          <w:rFonts w:ascii="Times New Roman" w:hAnsi="Times New Roman" w:cs="Times New Roman"/>
          <w:b/>
          <w:noProof w:val="0"/>
          <w:sz w:val="24"/>
          <w:szCs w:val="24"/>
          <w:u w:val="single"/>
        </w:rPr>
        <w:t>II. RASHODI I IZDACI</w:t>
      </w:r>
    </w:p>
    <w:p w14:paraId="3889BF72" w14:textId="77777777" w:rsidR="009832AE" w:rsidRPr="00C44401" w:rsidRDefault="009832AE" w:rsidP="009832AE">
      <w:pPr>
        <w:ind w:left="36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17823F86" w14:textId="7DBDC962" w:rsidR="009832AE" w:rsidRPr="00C44401" w:rsidRDefault="009832AE" w:rsidP="00C44401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Predložene izmjene rashodovne strane proračuna povećavaju rashode za ukupno 1.610.117,92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, na iznos od 12.265.492,98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>, a prikaz povećanja/smanjenja daje se u nastavku:</w:t>
      </w:r>
    </w:p>
    <w:p w14:paraId="7ACBB99D" w14:textId="77777777" w:rsidR="009832AE" w:rsidRPr="00C44401" w:rsidRDefault="009832AE" w:rsidP="009832AE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tbl>
      <w:tblPr>
        <w:tblW w:w="9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300"/>
        <w:gridCol w:w="1800"/>
        <w:gridCol w:w="1800"/>
        <w:gridCol w:w="1800"/>
      </w:tblGrid>
      <w:tr w:rsidR="009832AE" w:rsidRPr="00C44401" w14:paraId="2175F413" w14:textId="77777777" w:rsidTr="00C44401">
        <w:trPr>
          <w:trHeight w:val="233"/>
        </w:trPr>
        <w:tc>
          <w:tcPr>
            <w:tcW w:w="500" w:type="dxa"/>
            <w:vAlign w:val="center"/>
          </w:tcPr>
          <w:p w14:paraId="749CB63E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  <w:u w:val="single"/>
              </w:rPr>
            </w:pPr>
            <w:bookmarkStart w:id="3" w:name="OLE_LINK1"/>
          </w:p>
        </w:tc>
        <w:tc>
          <w:tcPr>
            <w:tcW w:w="3300" w:type="dxa"/>
            <w:vAlign w:val="center"/>
          </w:tcPr>
          <w:p w14:paraId="3B084C41" w14:textId="77777777" w:rsidR="009832AE" w:rsidRPr="00C44401" w:rsidRDefault="009832AE" w:rsidP="00653E87">
            <w:pPr>
              <w:rPr>
                <w:rFonts w:ascii="Times New Roman" w:hAnsi="Times New Roman" w:cs="Times New Roman"/>
                <w:noProof w:val="0"/>
                <w:sz w:val="24"/>
                <w:szCs w:val="24"/>
                <w:u w:val="single"/>
              </w:rPr>
            </w:pPr>
          </w:p>
        </w:tc>
        <w:tc>
          <w:tcPr>
            <w:tcW w:w="1800" w:type="dxa"/>
            <w:vAlign w:val="center"/>
          </w:tcPr>
          <w:p w14:paraId="48622A76" w14:textId="77777777" w:rsidR="009832AE" w:rsidRPr="00C44401" w:rsidRDefault="009832AE" w:rsidP="00653E87">
            <w:pPr>
              <w:rPr>
                <w:rFonts w:ascii="Times New Roman" w:hAnsi="Times New Roman" w:cs="Times New Roman"/>
                <w:noProof w:val="0"/>
                <w:sz w:val="24"/>
                <w:szCs w:val="24"/>
                <w:u w:val="single"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7903CA54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  <w:u w:val="single"/>
              </w:rPr>
            </w:pPr>
          </w:p>
        </w:tc>
      </w:tr>
      <w:tr w:rsidR="009832AE" w:rsidRPr="00C44401" w14:paraId="1B658B8C" w14:textId="77777777" w:rsidTr="00C44401">
        <w:trPr>
          <w:trHeight w:val="533"/>
        </w:trPr>
        <w:tc>
          <w:tcPr>
            <w:tcW w:w="500" w:type="dxa"/>
            <w:shd w:val="clear" w:color="auto" w:fill="E0E0E0"/>
            <w:vAlign w:val="center"/>
          </w:tcPr>
          <w:p w14:paraId="4521449C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  <w:u w:val="single"/>
              </w:rPr>
            </w:pPr>
          </w:p>
        </w:tc>
        <w:tc>
          <w:tcPr>
            <w:tcW w:w="3300" w:type="dxa"/>
            <w:shd w:val="clear" w:color="auto" w:fill="E0E0E0"/>
            <w:vAlign w:val="center"/>
          </w:tcPr>
          <w:p w14:paraId="2851E7FE" w14:textId="77777777" w:rsidR="009832AE" w:rsidRPr="00C44401" w:rsidRDefault="009832AE" w:rsidP="00653E87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Opis</w:t>
            </w:r>
          </w:p>
        </w:tc>
        <w:tc>
          <w:tcPr>
            <w:tcW w:w="1800" w:type="dxa"/>
            <w:shd w:val="clear" w:color="auto" w:fill="E0E0E0"/>
            <w:vAlign w:val="center"/>
          </w:tcPr>
          <w:p w14:paraId="693DD483" w14:textId="77777777" w:rsidR="009832AE" w:rsidRPr="00C44401" w:rsidRDefault="009832AE" w:rsidP="00653E87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Plan za 2026. godinu</w:t>
            </w:r>
          </w:p>
        </w:tc>
        <w:tc>
          <w:tcPr>
            <w:tcW w:w="1800" w:type="dxa"/>
            <w:shd w:val="clear" w:color="auto" w:fill="E0E0E0"/>
            <w:vAlign w:val="center"/>
          </w:tcPr>
          <w:p w14:paraId="040E8C3F" w14:textId="77777777" w:rsidR="009832AE" w:rsidRPr="00C44401" w:rsidRDefault="009832AE" w:rsidP="00653E87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Promjena</w:t>
            </w:r>
          </w:p>
        </w:tc>
        <w:tc>
          <w:tcPr>
            <w:tcW w:w="1800" w:type="dxa"/>
            <w:shd w:val="clear" w:color="auto" w:fill="E0E0E0"/>
            <w:vAlign w:val="center"/>
          </w:tcPr>
          <w:p w14:paraId="3D26FA85" w14:textId="77777777" w:rsidR="009832AE" w:rsidRPr="00C44401" w:rsidRDefault="009832AE" w:rsidP="00653E87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Novi plan za 2026. godinu</w:t>
            </w:r>
          </w:p>
        </w:tc>
      </w:tr>
      <w:tr w:rsidR="009832AE" w:rsidRPr="00C44401" w14:paraId="1BF9381C" w14:textId="77777777" w:rsidTr="00C44401">
        <w:trPr>
          <w:trHeight w:val="332"/>
        </w:trPr>
        <w:tc>
          <w:tcPr>
            <w:tcW w:w="500" w:type="dxa"/>
            <w:vAlign w:val="center"/>
          </w:tcPr>
          <w:p w14:paraId="21A73B6C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  <w:u w:val="single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1.</w:t>
            </w:r>
          </w:p>
        </w:tc>
        <w:tc>
          <w:tcPr>
            <w:tcW w:w="3300" w:type="dxa"/>
            <w:vAlign w:val="center"/>
          </w:tcPr>
          <w:p w14:paraId="279F759A" w14:textId="77777777" w:rsidR="009832AE" w:rsidRPr="00C44401" w:rsidRDefault="009832AE" w:rsidP="00653E87">
            <w:pPr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Rashodi za zaposlene</w:t>
            </w:r>
          </w:p>
        </w:tc>
        <w:tc>
          <w:tcPr>
            <w:tcW w:w="1800" w:type="dxa"/>
            <w:vAlign w:val="center"/>
          </w:tcPr>
          <w:p w14:paraId="2B6F66D8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1.771.900,00</w:t>
            </w:r>
          </w:p>
        </w:tc>
        <w:tc>
          <w:tcPr>
            <w:tcW w:w="1800" w:type="dxa"/>
            <w:shd w:val="clear" w:color="auto" w:fill="E0E0E0"/>
            <w:vAlign w:val="center"/>
          </w:tcPr>
          <w:p w14:paraId="6BC93466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-20,00</w:t>
            </w:r>
          </w:p>
        </w:tc>
        <w:tc>
          <w:tcPr>
            <w:tcW w:w="1800" w:type="dxa"/>
            <w:vAlign w:val="center"/>
          </w:tcPr>
          <w:p w14:paraId="20EC1548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1.771.880,00</w:t>
            </w:r>
          </w:p>
        </w:tc>
      </w:tr>
      <w:tr w:rsidR="009832AE" w:rsidRPr="00C44401" w14:paraId="49C3DA95" w14:textId="77777777" w:rsidTr="00C44401">
        <w:trPr>
          <w:trHeight w:val="444"/>
        </w:trPr>
        <w:tc>
          <w:tcPr>
            <w:tcW w:w="500" w:type="dxa"/>
            <w:vAlign w:val="center"/>
          </w:tcPr>
          <w:p w14:paraId="42EA528E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  <w:u w:val="single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2.</w:t>
            </w:r>
          </w:p>
        </w:tc>
        <w:tc>
          <w:tcPr>
            <w:tcW w:w="3300" w:type="dxa"/>
            <w:vAlign w:val="center"/>
          </w:tcPr>
          <w:p w14:paraId="326DD6E5" w14:textId="77777777" w:rsidR="009832AE" w:rsidRPr="00C44401" w:rsidRDefault="009832AE" w:rsidP="00653E87">
            <w:pPr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Materijalni rashodi</w:t>
            </w:r>
          </w:p>
        </w:tc>
        <w:tc>
          <w:tcPr>
            <w:tcW w:w="1800" w:type="dxa"/>
            <w:vAlign w:val="center"/>
          </w:tcPr>
          <w:p w14:paraId="3AD9E9B5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1.820.323,33</w:t>
            </w:r>
          </w:p>
        </w:tc>
        <w:tc>
          <w:tcPr>
            <w:tcW w:w="1800" w:type="dxa"/>
            <w:shd w:val="clear" w:color="auto" w:fill="E0E0E0"/>
            <w:vAlign w:val="center"/>
          </w:tcPr>
          <w:p w14:paraId="54E7886A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49.470,08</w:t>
            </w:r>
          </w:p>
        </w:tc>
        <w:tc>
          <w:tcPr>
            <w:tcW w:w="1800" w:type="dxa"/>
            <w:vAlign w:val="center"/>
          </w:tcPr>
          <w:p w14:paraId="5169252C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1.869.793,41</w:t>
            </w:r>
          </w:p>
        </w:tc>
      </w:tr>
      <w:tr w:rsidR="009832AE" w:rsidRPr="00C44401" w14:paraId="24405E11" w14:textId="77777777" w:rsidTr="00C44401">
        <w:trPr>
          <w:trHeight w:val="321"/>
        </w:trPr>
        <w:tc>
          <w:tcPr>
            <w:tcW w:w="500" w:type="dxa"/>
            <w:vAlign w:val="center"/>
          </w:tcPr>
          <w:p w14:paraId="79A5588C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  <w:u w:val="single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3.</w:t>
            </w:r>
          </w:p>
        </w:tc>
        <w:tc>
          <w:tcPr>
            <w:tcW w:w="3300" w:type="dxa"/>
            <w:vAlign w:val="center"/>
          </w:tcPr>
          <w:p w14:paraId="5742EB91" w14:textId="77777777" w:rsidR="009832AE" w:rsidRPr="00C44401" w:rsidRDefault="009832AE" w:rsidP="00653E87">
            <w:pPr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Financijski rashodi</w:t>
            </w:r>
          </w:p>
        </w:tc>
        <w:tc>
          <w:tcPr>
            <w:tcW w:w="1800" w:type="dxa"/>
            <w:vAlign w:val="center"/>
          </w:tcPr>
          <w:p w14:paraId="3D540B7E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121.330,00</w:t>
            </w:r>
          </w:p>
        </w:tc>
        <w:tc>
          <w:tcPr>
            <w:tcW w:w="1800" w:type="dxa"/>
            <w:shd w:val="clear" w:color="auto" w:fill="E0E0E0"/>
            <w:vAlign w:val="center"/>
          </w:tcPr>
          <w:p w14:paraId="5C49B73D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-27.000,00</w:t>
            </w:r>
          </w:p>
        </w:tc>
        <w:tc>
          <w:tcPr>
            <w:tcW w:w="1800" w:type="dxa"/>
            <w:vAlign w:val="center"/>
          </w:tcPr>
          <w:p w14:paraId="13079088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94.330,00</w:t>
            </w:r>
          </w:p>
        </w:tc>
      </w:tr>
      <w:tr w:rsidR="009832AE" w:rsidRPr="00C44401" w14:paraId="491E3443" w14:textId="77777777" w:rsidTr="00C44401">
        <w:trPr>
          <w:trHeight w:val="444"/>
        </w:trPr>
        <w:tc>
          <w:tcPr>
            <w:tcW w:w="500" w:type="dxa"/>
            <w:vAlign w:val="center"/>
          </w:tcPr>
          <w:p w14:paraId="54656F8B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  <w:u w:val="single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4.</w:t>
            </w:r>
          </w:p>
        </w:tc>
        <w:tc>
          <w:tcPr>
            <w:tcW w:w="3300" w:type="dxa"/>
            <w:vAlign w:val="center"/>
          </w:tcPr>
          <w:p w14:paraId="5274F845" w14:textId="77777777" w:rsidR="009832AE" w:rsidRPr="00C44401" w:rsidRDefault="009832AE" w:rsidP="00653E87">
            <w:pPr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Subvencije</w:t>
            </w:r>
          </w:p>
        </w:tc>
        <w:tc>
          <w:tcPr>
            <w:tcW w:w="1800" w:type="dxa"/>
            <w:vAlign w:val="center"/>
          </w:tcPr>
          <w:p w14:paraId="6C65418F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47.000,00</w:t>
            </w:r>
          </w:p>
        </w:tc>
        <w:tc>
          <w:tcPr>
            <w:tcW w:w="1800" w:type="dxa"/>
            <w:shd w:val="clear" w:color="auto" w:fill="E0E0E0"/>
            <w:vAlign w:val="center"/>
          </w:tcPr>
          <w:p w14:paraId="03910AA2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20.000,00</w:t>
            </w:r>
          </w:p>
        </w:tc>
        <w:tc>
          <w:tcPr>
            <w:tcW w:w="1800" w:type="dxa"/>
            <w:vAlign w:val="center"/>
          </w:tcPr>
          <w:p w14:paraId="6E5189BE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67.000,00</w:t>
            </w:r>
          </w:p>
        </w:tc>
      </w:tr>
      <w:tr w:rsidR="009832AE" w:rsidRPr="00C44401" w14:paraId="0CA3D7B4" w14:textId="77777777" w:rsidTr="00C44401">
        <w:trPr>
          <w:trHeight w:val="328"/>
        </w:trPr>
        <w:tc>
          <w:tcPr>
            <w:tcW w:w="500" w:type="dxa"/>
            <w:vAlign w:val="center"/>
          </w:tcPr>
          <w:p w14:paraId="26C7BA18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5.</w:t>
            </w:r>
          </w:p>
        </w:tc>
        <w:tc>
          <w:tcPr>
            <w:tcW w:w="3300" w:type="dxa"/>
            <w:vAlign w:val="center"/>
          </w:tcPr>
          <w:p w14:paraId="573AF6B2" w14:textId="77777777" w:rsidR="009832AE" w:rsidRPr="00C44401" w:rsidRDefault="009832AE" w:rsidP="00653E87">
            <w:pPr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Pomoći dane u inozemstvo i unutar općeg proračuna</w:t>
            </w:r>
          </w:p>
          <w:p w14:paraId="0C16EB8D" w14:textId="77777777" w:rsidR="009832AE" w:rsidRPr="00C44401" w:rsidRDefault="009832AE" w:rsidP="00653E87">
            <w:pPr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6572E60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28.330,00</w:t>
            </w:r>
          </w:p>
        </w:tc>
        <w:tc>
          <w:tcPr>
            <w:tcW w:w="1800" w:type="dxa"/>
            <w:shd w:val="clear" w:color="auto" w:fill="E0E0E0"/>
            <w:vAlign w:val="center"/>
          </w:tcPr>
          <w:p w14:paraId="399B14E2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-8.000,00</w:t>
            </w:r>
          </w:p>
        </w:tc>
        <w:tc>
          <w:tcPr>
            <w:tcW w:w="1800" w:type="dxa"/>
            <w:vAlign w:val="center"/>
          </w:tcPr>
          <w:p w14:paraId="0D7CED2F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20.330,00</w:t>
            </w:r>
          </w:p>
        </w:tc>
      </w:tr>
      <w:tr w:rsidR="009832AE" w:rsidRPr="00C44401" w14:paraId="55602553" w14:textId="77777777" w:rsidTr="00C44401">
        <w:trPr>
          <w:trHeight w:val="328"/>
        </w:trPr>
        <w:tc>
          <w:tcPr>
            <w:tcW w:w="500" w:type="dxa"/>
            <w:vAlign w:val="center"/>
          </w:tcPr>
          <w:p w14:paraId="0496CDA4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  <w:u w:val="single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6.</w:t>
            </w:r>
          </w:p>
        </w:tc>
        <w:tc>
          <w:tcPr>
            <w:tcW w:w="3300" w:type="dxa"/>
            <w:vAlign w:val="center"/>
          </w:tcPr>
          <w:p w14:paraId="285BB75D" w14:textId="77777777" w:rsidR="009832AE" w:rsidRPr="00C44401" w:rsidRDefault="009832AE" w:rsidP="00653E87">
            <w:pPr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Naknade građanima i kućanstvima na temelju osiguranja drugih naknada</w:t>
            </w:r>
          </w:p>
        </w:tc>
        <w:tc>
          <w:tcPr>
            <w:tcW w:w="1800" w:type="dxa"/>
            <w:vAlign w:val="center"/>
          </w:tcPr>
          <w:p w14:paraId="619639C2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259.500,00</w:t>
            </w:r>
          </w:p>
        </w:tc>
        <w:tc>
          <w:tcPr>
            <w:tcW w:w="1800" w:type="dxa"/>
            <w:shd w:val="clear" w:color="auto" w:fill="E0E0E0"/>
            <w:vAlign w:val="center"/>
          </w:tcPr>
          <w:p w14:paraId="5B32B28C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18.000,00</w:t>
            </w:r>
          </w:p>
        </w:tc>
        <w:tc>
          <w:tcPr>
            <w:tcW w:w="1800" w:type="dxa"/>
            <w:vAlign w:val="center"/>
          </w:tcPr>
          <w:p w14:paraId="42F8945A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277.500,00</w:t>
            </w:r>
          </w:p>
        </w:tc>
      </w:tr>
      <w:tr w:rsidR="009832AE" w:rsidRPr="00C44401" w14:paraId="489E05DE" w14:textId="77777777" w:rsidTr="00C44401">
        <w:trPr>
          <w:trHeight w:val="451"/>
        </w:trPr>
        <w:tc>
          <w:tcPr>
            <w:tcW w:w="500" w:type="dxa"/>
            <w:vAlign w:val="center"/>
          </w:tcPr>
          <w:p w14:paraId="6484B8D1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  <w:u w:val="single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7.</w:t>
            </w:r>
          </w:p>
        </w:tc>
        <w:tc>
          <w:tcPr>
            <w:tcW w:w="3300" w:type="dxa"/>
            <w:vAlign w:val="center"/>
          </w:tcPr>
          <w:p w14:paraId="52B317B2" w14:textId="77777777" w:rsidR="009832AE" w:rsidRPr="00C44401" w:rsidRDefault="009832AE" w:rsidP="00653E87">
            <w:pPr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Ostali rashodi</w:t>
            </w:r>
          </w:p>
        </w:tc>
        <w:tc>
          <w:tcPr>
            <w:tcW w:w="1800" w:type="dxa"/>
            <w:vAlign w:val="center"/>
          </w:tcPr>
          <w:p w14:paraId="3BA0E57A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570.418,00</w:t>
            </w:r>
          </w:p>
        </w:tc>
        <w:tc>
          <w:tcPr>
            <w:tcW w:w="1800" w:type="dxa"/>
            <w:shd w:val="clear" w:color="auto" w:fill="E0E0E0"/>
            <w:vAlign w:val="center"/>
          </w:tcPr>
          <w:p w14:paraId="26903CAF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24.000,00</w:t>
            </w:r>
          </w:p>
        </w:tc>
        <w:tc>
          <w:tcPr>
            <w:tcW w:w="1800" w:type="dxa"/>
            <w:vAlign w:val="center"/>
          </w:tcPr>
          <w:p w14:paraId="0674C45E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594.418,00</w:t>
            </w:r>
          </w:p>
        </w:tc>
      </w:tr>
      <w:tr w:rsidR="009832AE" w:rsidRPr="00C44401" w14:paraId="4BA9AE10" w14:textId="77777777" w:rsidTr="00C44401">
        <w:trPr>
          <w:trHeight w:val="461"/>
        </w:trPr>
        <w:tc>
          <w:tcPr>
            <w:tcW w:w="500" w:type="dxa"/>
            <w:vAlign w:val="center"/>
          </w:tcPr>
          <w:p w14:paraId="7153E691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8.</w:t>
            </w:r>
          </w:p>
        </w:tc>
        <w:tc>
          <w:tcPr>
            <w:tcW w:w="3300" w:type="dxa"/>
            <w:vAlign w:val="center"/>
          </w:tcPr>
          <w:p w14:paraId="3AC14F79" w14:textId="77777777" w:rsidR="009832AE" w:rsidRPr="00C44401" w:rsidRDefault="009832AE" w:rsidP="00653E87">
            <w:pPr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Rashodi za nabavu </w:t>
            </w:r>
            <w:proofErr w:type="spellStart"/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neproizvedene</w:t>
            </w:r>
            <w:proofErr w:type="spellEnd"/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dugotrajne imovine</w:t>
            </w:r>
          </w:p>
        </w:tc>
        <w:tc>
          <w:tcPr>
            <w:tcW w:w="1800" w:type="dxa"/>
            <w:vAlign w:val="center"/>
          </w:tcPr>
          <w:p w14:paraId="2512A61B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500,00</w:t>
            </w:r>
          </w:p>
        </w:tc>
        <w:tc>
          <w:tcPr>
            <w:tcW w:w="1800" w:type="dxa"/>
            <w:shd w:val="clear" w:color="auto" w:fill="E0E0E0"/>
            <w:vAlign w:val="center"/>
          </w:tcPr>
          <w:p w14:paraId="577B28C8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23.000,00</w:t>
            </w:r>
          </w:p>
        </w:tc>
        <w:tc>
          <w:tcPr>
            <w:tcW w:w="1800" w:type="dxa"/>
            <w:vAlign w:val="center"/>
          </w:tcPr>
          <w:p w14:paraId="2AD86BBB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23.500,00</w:t>
            </w:r>
          </w:p>
        </w:tc>
      </w:tr>
      <w:tr w:rsidR="009832AE" w:rsidRPr="00C44401" w14:paraId="28322724" w14:textId="77777777" w:rsidTr="00C44401">
        <w:trPr>
          <w:trHeight w:val="461"/>
        </w:trPr>
        <w:tc>
          <w:tcPr>
            <w:tcW w:w="500" w:type="dxa"/>
            <w:vAlign w:val="center"/>
          </w:tcPr>
          <w:p w14:paraId="47878071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  <w:u w:val="single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9.</w:t>
            </w:r>
          </w:p>
        </w:tc>
        <w:tc>
          <w:tcPr>
            <w:tcW w:w="3300" w:type="dxa"/>
            <w:vAlign w:val="center"/>
          </w:tcPr>
          <w:p w14:paraId="345746B8" w14:textId="77777777" w:rsidR="009832AE" w:rsidRPr="00C44401" w:rsidRDefault="009832AE" w:rsidP="00653E87">
            <w:pPr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Rashodi za nabavu proizvedene  dugotrajne imovine</w:t>
            </w:r>
          </w:p>
        </w:tc>
        <w:tc>
          <w:tcPr>
            <w:tcW w:w="1800" w:type="dxa"/>
            <w:vAlign w:val="center"/>
          </w:tcPr>
          <w:p w14:paraId="1340C841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6.625.612,07</w:t>
            </w:r>
          </w:p>
        </w:tc>
        <w:tc>
          <w:tcPr>
            <w:tcW w:w="1800" w:type="dxa"/>
            <w:shd w:val="clear" w:color="auto" w:fill="E0E0E0"/>
            <w:vAlign w:val="center"/>
          </w:tcPr>
          <w:p w14:paraId="374F1D10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-2.818.573,92</w:t>
            </w:r>
          </w:p>
        </w:tc>
        <w:tc>
          <w:tcPr>
            <w:tcW w:w="1800" w:type="dxa"/>
            <w:vAlign w:val="center"/>
          </w:tcPr>
          <w:p w14:paraId="711AB22C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3.807.038,15</w:t>
            </w:r>
          </w:p>
        </w:tc>
      </w:tr>
      <w:tr w:rsidR="009832AE" w:rsidRPr="00C44401" w14:paraId="11FC0CFD" w14:textId="77777777" w:rsidTr="00C44401">
        <w:trPr>
          <w:trHeight w:val="461"/>
        </w:trPr>
        <w:tc>
          <w:tcPr>
            <w:tcW w:w="500" w:type="dxa"/>
            <w:vAlign w:val="center"/>
          </w:tcPr>
          <w:p w14:paraId="27144BF3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10</w:t>
            </w:r>
          </w:p>
        </w:tc>
        <w:tc>
          <w:tcPr>
            <w:tcW w:w="3300" w:type="dxa"/>
            <w:vAlign w:val="center"/>
          </w:tcPr>
          <w:p w14:paraId="50B261C6" w14:textId="77777777" w:rsidR="009832AE" w:rsidRPr="00C44401" w:rsidRDefault="009832AE" w:rsidP="00653E87">
            <w:pPr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Rashodi za dodatna ulaganja na nefinancijskoj imovini</w:t>
            </w:r>
          </w:p>
        </w:tc>
        <w:tc>
          <w:tcPr>
            <w:tcW w:w="1800" w:type="dxa"/>
            <w:vAlign w:val="center"/>
          </w:tcPr>
          <w:p w14:paraId="665DC11E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2.424.977,15</w:t>
            </w:r>
          </w:p>
        </w:tc>
        <w:tc>
          <w:tcPr>
            <w:tcW w:w="1800" w:type="dxa"/>
            <w:shd w:val="clear" w:color="auto" w:fill="E0E0E0"/>
            <w:vAlign w:val="center"/>
          </w:tcPr>
          <w:p w14:paraId="35C69416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330.850,71</w:t>
            </w:r>
          </w:p>
        </w:tc>
        <w:tc>
          <w:tcPr>
            <w:tcW w:w="1800" w:type="dxa"/>
            <w:vAlign w:val="center"/>
          </w:tcPr>
          <w:p w14:paraId="1E2BD0F5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2.755.827,86</w:t>
            </w:r>
          </w:p>
        </w:tc>
      </w:tr>
      <w:tr w:rsidR="009832AE" w:rsidRPr="00C44401" w14:paraId="0FE49427" w14:textId="77777777" w:rsidTr="00C44401">
        <w:trPr>
          <w:trHeight w:val="461"/>
        </w:trPr>
        <w:tc>
          <w:tcPr>
            <w:tcW w:w="500" w:type="dxa"/>
            <w:vAlign w:val="center"/>
          </w:tcPr>
          <w:p w14:paraId="0D8B126A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11</w:t>
            </w:r>
          </w:p>
        </w:tc>
        <w:tc>
          <w:tcPr>
            <w:tcW w:w="3300" w:type="dxa"/>
            <w:vAlign w:val="center"/>
          </w:tcPr>
          <w:p w14:paraId="2B4E3172" w14:textId="77777777" w:rsidR="009832AE" w:rsidRPr="00C44401" w:rsidRDefault="009832AE" w:rsidP="00653E87">
            <w:pPr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Izdaci za financijsku imovinu i otplate zajmova</w:t>
            </w:r>
          </w:p>
        </w:tc>
        <w:tc>
          <w:tcPr>
            <w:tcW w:w="1800" w:type="dxa"/>
            <w:vAlign w:val="center"/>
          </w:tcPr>
          <w:p w14:paraId="71CB9A15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205.720,35</w:t>
            </w:r>
          </w:p>
        </w:tc>
        <w:tc>
          <w:tcPr>
            <w:tcW w:w="1800" w:type="dxa"/>
            <w:shd w:val="clear" w:color="auto" w:fill="E0E0E0"/>
            <w:vAlign w:val="center"/>
          </w:tcPr>
          <w:p w14:paraId="2AE31642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778.155,21</w:t>
            </w:r>
          </w:p>
        </w:tc>
        <w:tc>
          <w:tcPr>
            <w:tcW w:w="1800" w:type="dxa"/>
            <w:vAlign w:val="center"/>
          </w:tcPr>
          <w:p w14:paraId="64D9BAEA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983.875,56</w:t>
            </w:r>
          </w:p>
        </w:tc>
      </w:tr>
      <w:tr w:rsidR="009832AE" w:rsidRPr="00C44401" w14:paraId="2D85F98D" w14:textId="77777777" w:rsidTr="00C44401">
        <w:trPr>
          <w:trHeight w:val="429"/>
        </w:trPr>
        <w:tc>
          <w:tcPr>
            <w:tcW w:w="500" w:type="dxa"/>
            <w:shd w:val="clear" w:color="auto" w:fill="E0E0E0"/>
            <w:vAlign w:val="center"/>
          </w:tcPr>
          <w:p w14:paraId="4F145A48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b/>
                <w:bCs/>
                <w:i/>
                <w:noProof w:val="0"/>
                <w:sz w:val="24"/>
                <w:szCs w:val="24"/>
                <w:u w:val="single"/>
              </w:rPr>
            </w:pPr>
          </w:p>
        </w:tc>
        <w:tc>
          <w:tcPr>
            <w:tcW w:w="3300" w:type="dxa"/>
            <w:shd w:val="clear" w:color="auto" w:fill="E0E0E0"/>
            <w:vAlign w:val="center"/>
          </w:tcPr>
          <w:p w14:paraId="5AD86C3F" w14:textId="77777777" w:rsidR="009832AE" w:rsidRPr="00C44401" w:rsidRDefault="009832AE" w:rsidP="00653E87">
            <w:pPr>
              <w:jc w:val="center"/>
              <w:rPr>
                <w:rFonts w:ascii="Times New Roman" w:hAnsi="Times New Roman" w:cs="Times New Roman"/>
                <w:b/>
                <w:bCs/>
                <w:i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b/>
                <w:bCs/>
                <w:i/>
                <w:noProof w:val="0"/>
                <w:sz w:val="24"/>
                <w:szCs w:val="24"/>
              </w:rPr>
              <w:t>SVEUKUPNO</w:t>
            </w:r>
          </w:p>
        </w:tc>
        <w:tc>
          <w:tcPr>
            <w:tcW w:w="1800" w:type="dxa"/>
            <w:shd w:val="clear" w:color="auto" w:fill="E0E0E0"/>
            <w:vAlign w:val="center"/>
          </w:tcPr>
          <w:p w14:paraId="3BBDA2E6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b/>
                <w:bCs/>
                <w:i/>
                <w:iCs/>
                <w:noProof w:val="0"/>
                <w:sz w:val="24"/>
                <w:szCs w:val="24"/>
              </w:rPr>
              <w:t>13.875.610,90</w:t>
            </w:r>
          </w:p>
        </w:tc>
        <w:tc>
          <w:tcPr>
            <w:tcW w:w="1800" w:type="dxa"/>
            <w:shd w:val="clear" w:color="auto" w:fill="E0E0E0"/>
            <w:vAlign w:val="center"/>
          </w:tcPr>
          <w:p w14:paraId="751F2E9D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b/>
                <w:bCs/>
                <w:i/>
                <w:iCs/>
                <w:noProof w:val="0"/>
                <w:sz w:val="24"/>
                <w:szCs w:val="24"/>
              </w:rPr>
              <w:t>-1.610.117,92</w:t>
            </w:r>
          </w:p>
        </w:tc>
        <w:tc>
          <w:tcPr>
            <w:tcW w:w="1800" w:type="dxa"/>
            <w:shd w:val="clear" w:color="auto" w:fill="E0E0E0"/>
            <w:vAlign w:val="center"/>
          </w:tcPr>
          <w:p w14:paraId="484C2DCD" w14:textId="77777777" w:rsidR="009832AE" w:rsidRPr="00C44401" w:rsidRDefault="009832AE" w:rsidP="00653E87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b/>
                <w:bCs/>
                <w:i/>
                <w:iCs/>
                <w:noProof w:val="0"/>
                <w:sz w:val="24"/>
                <w:szCs w:val="24"/>
              </w:rPr>
              <w:t>12.265.492,98</w:t>
            </w:r>
          </w:p>
        </w:tc>
      </w:tr>
      <w:bookmarkEnd w:id="3"/>
    </w:tbl>
    <w:p w14:paraId="6BA6F5E9" w14:textId="77777777" w:rsidR="009832AE" w:rsidRPr="00C44401" w:rsidRDefault="009832AE" w:rsidP="00C44401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7F34DAAF" w14:textId="26B7D675" w:rsidR="009832AE" w:rsidRPr="00C44401" w:rsidRDefault="009832AE" w:rsidP="009832AE">
      <w:pPr>
        <w:ind w:firstLine="36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Rashodi proračuna planirani u Računu prihoda i rashoda i u Računu financiranja u ukupnom iznosu od 12.265.492,98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>, prikazani su u posebnom dijelu proračuna po upravnim odjelima, a gdje su raspoređeni u programe koji se sastoje od tekućih i kapitalnih projekata i aktivnosti.</w:t>
      </w:r>
    </w:p>
    <w:p w14:paraId="29B67345" w14:textId="77777777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5770F61B" w14:textId="77777777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239E540F" w14:textId="77777777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0C0B8CA8" w14:textId="77777777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321FCE44" w14:textId="77777777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0938DA40" w14:textId="77777777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65199108" w14:textId="77777777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20DDBA32" w14:textId="77777777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561D93B4" w14:textId="77777777" w:rsidR="00E0122C" w:rsidRDefault="00E0122C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6592B5FE" w14:textId="77777777" w:rsidR="00C44401" w:rsidRPr="00C44401" w:rsidRDefault="00C44401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753CE548" w14:textId="77777777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3C34E22F" w14:textId="77777777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523CB8B7" w14:textId="77777777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22692D08" w14:textId="28C59FB3" w:rsidR="009832AE" w:rsidRDefault="009832AE" w:rsidP="00C44401">
      <w:pPr>
        <w:jc w:val="both"/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  <w:u w:val="single"/>
        </w:rPr>
      </w:pPr>
      <w:r w:rsidRPr="00C44401"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  <w:u w:val="single"/>
        </w:rPr>
        <w:lastRenderedPageBreak/>
        <w:t>POSEBNI DIO</w:t>
      </w:r>
    </w:p>
    <w:p w14:paraId="29142711" w14:textId="77777777" w:rsidR="00C44401" w:rsidRPr="00C44401" w:rsidRDefault="00C44401" w:rsidP="00C44401">
      <w:pPr>
        <w:jc w:val="both"/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  <w:u w:val="single"/>
        </w:rPr>
      </w:pPr>
    </w:p>
    <w:p w14:paraId="37F13FFB" w14:textId="77777777" w:rsidR="009832AE" w:rsidRPr="00C44401" w:rsidRDefault="009832AE" w:rsidP="009832AE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noProof w:val="0"/>
          <w:sz w:val="24"/>
          <w:szCs w:val="24"/>
        </w:rPr>
        <w:t>U posebnom dijelu I. izmjena i dopuna Proračuna za 2026. godinu prikazane su promjene po organizacijskoj i ekonomskoj klasifikaciji, programima, aktivnostima i projektima. Promjene su prikazane u nastavku:</w:t>
      </w:r>
    </w:p>
    <w:p w14:paraId="3D30633D" w14:textId="77777777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045BF9F3" w14:textId="77777777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8"/>
        <w:gridCol w:w="1577"/>
        <w:gridCol w:w="1489"/>
        <w:gridCol w:w="2215"/>
      </w:tblGrid>
      <w:tr w:rsidR="009832AE" w:rsidRPr="00C44401" w14:paraId="1EC705D5" w14:textId="77777777" w:rsidTr="00C44401">
        <w:tc>
          <w:tcPr>
            <w:tcW w:w="0" w:type="auto"/>
          </w:tcPr>
          <w:p w14:paraId="57908A23" w14:textId="77777777" w:rsidR="009832AE" w:rsidRPr="00C44401" w:rsidRDefault="009832AE" w:rsidP="00C44401">
            <w:pPr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Organizacijska klasifikacija – razdjel</w:t>
            </w:r>
          </w:p>
        </w:tc>
        <w:tc>
          <w:tcPr>
            <w:tcW w:w="0" w:type="auto"/>
          </w:tcPr>
          <w:p w14:paraId="2DE41368" w14:textId="77777777" w:rsidR="00C44401" w:rsidRDefault="009832AE" w:rsidP="00C44401">
            <w:pPr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 xml:space="preserve">Proračun za 2026. </w:t>
            </w:r>
          </w:p>
          <w:p w14:paraId="5F1036A8" w14:textId="4BDE6561" w:rsidR="009832AE" w:rsidRPr="00C44401" w:rsidRDefault="009832AE" w:rsidP="00C44401">
            <w:pPr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 xml:space="preserve">(u </w:t>
            </w:r>
            <w:r w:rsidR="00E0122C"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eur</w:t>
            </w:r>
            <w:r w:rsidR="00C44401"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ima</w:t>
            </w:r>
            <w:r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5D677DCF" w14:textId="77777777" w:rsidR="00C44401" w:rsidRDefault="009832AE" w:rsidP="00C44401">
            <w:pPr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 xml:space="preserve">Promjena </w:t>
            </w:r>
          </w:p>
          <w:p w14:paraId="0C0DB1FC" w14:textId="2A3C1111" w:rsidR="009832AE" w:rsidRPr="00C44401" w:rsidRDefault="009832AE" w:rsidP="00C44401">
            <w:pPr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 xml:space="preserve">(u </w:t>
            </w:r>
            <w:r w:rsidR="00E0122C"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eur</w:t>
            </w:r>
            <w:r w:rsidR="00C44401"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ima</w:t>
            </w:r>
            <w:r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)</w:t>
            </w:r>
          </w:p>
        </w:tc>
        <w:tc>
          <w:tcPr>
            <w:tcW w:w="2215" w:type="dxa"/>
          </w:tcPr>
          <w:p w14:paraId="0471DA0E" w14:textId="3C552A14" w:rsidR="009832AE" w:rsidRPr="00C44401" w:rsidRDefault="009832AE" w:rsidP="00C44401">
            <w:pPr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 xml:space="preserve">I. Izmjene i dopune Proračuna za 2026. (u </w:t>
            </w:r>
            <w:r w:rsidR="00E0122C"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eur</w:t>
            </w:r>
            <w:r w:rsid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ima</w:t>
            </w:r>
            <w:r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)</w:t>
            </w:r>
          </w:p>
        </w:tc>
      </w:tr>
      <w:tr w:rsidR="009832AE" w:rsidRPr="00C44401" w14:paraId="6E0A1D2E" w14:textId="77777777" w:rsidTr="00C44401">
        <w:tc>
          <w:tcPr>
            <w:tcW w:w="0" w:type="auto"/>
          </w:tcPr>
          <w:p w14:paraId="54377F70" w14:textId="77777777" w:rsidR="009832AE" w:rsidRPr="00C44401" w:rsidRDefault="009832AE" w:rsidP="00653E87">
            <w:pPr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RAZDJEL 1 PREDSTAVNIČKA I IZVRŠNA TIJELA</w:t>
            </w:r>
          </w:p>
          <w:p w14:paraId="7020DB54" w14:textId="77777777" w:rsidR="009832AE" w:rsidRPr="00C44401" w:rsidRDefault="009832AE" w:rsidP="00653E87">
            <w:pPr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GLAVA 11 OPĆINSKO VIJEĆE I NAČELNICA</w:t>
            </w:r>
          </w:p>
        </w:tc>
        <w:tc>
          <w:tcPr>
            <w:tcW w:w="0" w:type="auto"/>
          </w:tcPr>
          <w:p w14:paraId="378B1815" w14:textId="77777777" w:rsidR="009832AE" w:rsidRPr="00C44401" w:rsidRDefault="009832AE" w:rsidP="00653E87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135.500,00</w:t>
            </w:r>
          </w:p>
        </w:tc>
        <w:tc>
          <w:tcPr>
            <w:tcW w:w="0" w:type="auto"/>
          </w:tcPr>
          <w:p w14:paraId="6E27AD20" w14:textId="77777777" w:rsidR="009832AE" w:rsidRPr="00C44401" w:rsidRDefault="009832AE" w:rsidP="00653E87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10.400,00</w:t>
            </w:r>
          </w:p>
        </w:tc>
        <w:tc>
          <w:tcPr>
            <w:tcW w:w="2215" w:type="dxa"/>
          </w:tcPr>
          <w:p w14:paraId="03299A1E" w14:textId="77777777" w:rsidR="009832AE" w:rsidRPr="00C44401" w:rsidRDefault="009832AE" w:rsidP="00653E87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145.900,00</w:t>
            </w:r>
          </w:p>
        </w:tc>
      </w:tr>
      <w:tr w:rsidR="009832AE" w:rsidRPr="00C44401" w14:paraId="5FF9A497" w14:textId="77777777" w:rsidTr="00C44401">
        <w:tc>
          <w:tcPr>
            <w:tcW w:w="0" w:type="auto"/>
          </w:tcPr>
          <w:p w14:paraId="150E54F8" w14:textId="77777777" w:rsidR="009832AE" w:rsidRPr="00C44401" w:rsidRDefault="009832AE" w:rsidP="00653E87">
            <w:pPr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RAZDJEL 2 JEDINSTVENI UPRAVNI ODJEL</w:t>
            </w:r>
          </w:p>
          <w:p w14:paraId="61DE5DD2" w14:textId="77777777" w:rsidR="009832AE" w:rsidRPr="00C44401" w:rsidRDefault="009832AE" w:rsidP="00653E87">
            <w:pPr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GLAVA 21 JEDINSTVENI UPRAVNI ODJEL</w:t>
            </w:r>
          </w:p>
        </w:tc>
        <w:tc>
          <w:tcPr>
            <w:tcW w:w="0" w:type="auto"/>
          </w:tcPr>
          <w:p w14:paraId="2AC2362E" w14:textId="77777777" w:rsidR="009832AE" w:rsidRPr="00C44401" w:rsidRDefault="009832AE" w:rsidP="00653E87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1.100.440,35</w:t>
            </w:r>
          </w:p>
        </w:tc>
        <w:tc>
          <w:tcPr>
            <w:tcW w:w="0" w:type="auto"/>
          </w:tcPr>
          <w:p w14:paraId="77A543F8" w14:textId="77777777" w:rsidR="009832AE" w:rsidRPr="00C44401" w:rsidRDefault="009832AE" w:rsidP="00653E87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786.645,21</w:t>
            </w:r>
          </w:p>
        </w:tc>
        <w:tc>
          <w:tcPr>
            <w:tcW w:w="2215" w:type="dxa"/>
          </w:tcPr>
          <w:p w14:paraId="1A2D8951" w14:textId="77777777" w:rsidR="009832AE" w:rsidRPr="00C44401" w:rsidRDefault="009832AE" w:rsidP="00653E87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1.887.085,56</w:t>
            </w:r>
          </w:p>
        </w:tc>
      </w:tr>
      <w:tr w:rsidR="009832AE" w:rsidRPr="00C44401" w14:paraId="324903BA" w14:textId="77777777" w:rsidTr="00C44401">
        <w:tc>
          <w:tcPr>
            <w:tcW w:w="0" w:type="auto"/>
          </w:tcPr>
          <w:p w14:paraId="072C2F98" w14:textId="77777777" w:rsidR="009832AE" w:rsidRPr="00C44401" w:rsidRDefault="009832AE" w:rsidP="00653E87">
            <w:pPr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RAZDJEL 2 JEDINSTVENI UPRAVNI ODJEL</w:t>
            </w:r>
          </w:p>
          <w:p w14:paraId="452A7B90" w14:textId="77777777" w:rsidR="009832AE" w:rsidRPr="00C44401" w:rsidRDefault="009832AE" w:rsidP="00653E87">
            <w:pPr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GLAVA 23 DRUŠTVENA DJELATNOST</w:t>
            </w:r>
          </w:p>
        </w:tc>
        <w:tc>
          <w:tcPr>
            <w:tcW w:w="0" w:type="auto"/>
          </w:tcPr>
          <w:p w14:paraId="09D316A3" w14:textId="77777777" w:rsidR="009832AE" w:rsidRPr="00C44401" w:rsidRDefault="009832AE" w:rsidP="00653E87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3.180.569,65</w:t>
            </w:r>
          </w:p>
        </w:tc>
        <w:tc>
          <w:tcPr>
            <w:tcW w:w="0" w:type="auto"/>
          </w:tcPr>
          <w:p w14:paraId="02181E18" w14:textId="77777777" w:rsidR="009832AE" w:rsidRPr="00C44401" w:rsidRDefault="009832AE" w:rsidP="00653E87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307.783,21</w:t>
            </w:r>
          </w:p>
        </w:tc>
        <w:tc>
          <w:tcPr>
            <w:tcW w:w="2215" w:type="dxa"/>
          </w:tcPr>
          <w:p w14:paraId="72473F01" w14:textId="77777777" w:rsidR="009832AE" w:rsidRPr="00C44401" w:rsidRDefault="009832AE" w:rsidP="00653E87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3.488.352,86</w:t>
            </w:r>
          </w:p>
        </w:tc>
      </w:tr>
      <w:tr w:rsidR="009832AE" w:rsidRPr="00C44401" w14:paraId="435F77A3" w14:textId="77777777" w:rsidTr="00C44401">
        <w:tc>
          <w:tcPr>
            <w:tcW w:w="0" w:type="auto"/>
          </w:tcPr>
          <w:p w14:paraId="3620B270" w14:textId="77777777" w:rsidR="009832AE" w:rsidRPr="00C44401" w:rsidRDefault="009832AE" w:rsidP="00653E87">
            <w:pPr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RAZDJEL 2 JEDINSTVENI UPRAVNI ODJEL</w:t>
            </w:r>
          </w:p>
          <w:p w14:paraId="1F6A518D" w14:textId="77777777" w:rsidR="009832AE" w:rsidRPr="00C44401" w:rsidRDefault="009832AE" w:rsidP="00653E87">
            <w:pPr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GLAVA 24 STAMBENE I KOMUNALNE DJELATNOSTI PROSTORNOG UREĐENJA I ZAŠTITE OKOLIŠA</w:t>
            </w:r>
          </w:p>
        </w:tc>
        <w:tc>
          <w:tcPr>
            <w:tcW w:w="0" w:type="auto"/>
          </w:tcPr>
          <w:p w14:paraId="4CC7400D" w14:textId="77777777" w:rsidR="009832AE" w:rsidRPr="00C44401" w:rsidRDefault="009832AE" w:rsidP="00653E87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7.405.522,90</w:t>
            </w:r>
          </w:p>
        </w:tc>
        <w:tc>
          <w:tcPr>
            <w:tcW w:w="0" w:type="auto"/>
          </w:tcPr>
          <w:p w14:paraId="12F1048C" w14:textId="77777777" w:rsidR="009832AE" w:rsidRPr="00C44401" w:rsidRDefault="009832AE" w:rsidP="00653E87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-2.738.821,34</w:t>
            </w:r>
          </w:p>
        </w:tc>
        <w:tc>
          <w:tcPr>
            <w:tcW w:w="2215" w:type="dxa"/>
          </w:tcPr>
          <w:p w14:paraId="43482FD3" w14:textId="77777777" w:rsidR="009832AE" w:rsidRPr="00C44401" w:rsidRDefault="009832AE" w:rsidP="00653E87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4.666.701,56</w:t>
            </w:r>
          </w:p>
        </w:tc>
      </w:tr>
      <w:tr w:rsidR="009832AE" w:rsidRPr="00C44401" w14:paraId="59791E9E" w14:textId="77777777" w:rsidTr="00C44401">
        <w:tc>
          <w:tcPr>
            <w:tcW w:w="0" w:type="auto"/>
          </w:tcPr>
          <w:p w14:paraId="407D74B8" w14:textId="77777777" w:rsidR="009832AE" w:rsidRPr="00C44401" w:rsidRDefault="009832AE" w:rsidP="00653E87">
            <w:pPr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RAZDJEL 2 JEDINSTVENI UPRAVNI ODJEL</w:t>
            </w:r>
          </w:p>
          <w:p w14:paraId="27F37BC8" w14:textId="77777777" w:rsidR="009832AE" w:rsidRPr="00C44401" w:rsidRDefault="009832AE" w:rsidP="00653E87">
            <w:pPr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GLAVA 25 PROTUPOŽARNA ZAŠTITA, GOSPODARSTVO, TURIZAM I POLJOPRIVREDA</w:t>
            </w:r>
          </w:p>
        </w:tc>
        <w:tc>
          <w:tcPr>
            <w:tcW w:w="0" w:type="auto"/>
          </w:tcPr>
          <w:p w14:paraId="42E05F54" w14:textId="77777777" w:rsidR="009832AE" w:rsidRPr="00C44401" w:rsidRDefault="009832AE" w:rsidP="00653E87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444.828,00</w:t>
            </w:r>
          </w:p>
        </w:tc>
        <w:tc>
          <w:tcPr>
            <w:tcW w:w="0" w:type="auto"/>
          </w:tcPr>
          <w:p w14:paraId="34B5F1C8" w14:textId="77777777" w:rsidR="009832AE" w:rsidRPr="00C44401" w:rsidRDefault="009832AE" w:rsidP="00653E87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24.000,00</w:t>
            </w:r>
          </w:p>
        </w:tc>
        <w:tc>
          <w:tcPr>
            <w:tcW w:w="2215" w:type="dxa"/>
          </w:tcPr>
          <w:p w14:paraId="43095E72" w14:textId="77777777" w:rsidR="009832AE" w:rsidRPr="00C44401" w:rsidRDefault="009832AE" w:rsidP="00653E87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468.828,00</w:t>
            </w:r>
          </w:p>
        </w:tc>
      </w:tr>
      <w:tr w:rsidR="009832AE" w:rsidRPr="00C44401" w14:paraId="281828CB" w14:textId="77777777" w:rsidTr="00C44401">
        <w:tc>
          <w:tcPr>
            <w:tcW w:w="0" w:type="auto"/>
          </w:tcPr>
          <w:p w14:paraId="1698801F" w14:textId="77777777" w:rsidR="009832AE" w:rsidRPr="00C44401" w:rsidRDefault="009832AE" w:rsidP="00653E87">
            <w:pPr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RAZDJEL 2 JEDINSTVENI UPRAVNI ODJEL</w:t>
            </w:r>
          </w:p>
          <w:p w14:paraId="7377EE3D" w14:textId="77777777" w:rsidR="009832AE" w:rsidRPr="00C44401" w:rsidRDefault="009832AE" w:rsidP="00653E87">
            <w:pPr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GLAVA 26 OSTALI JAVNI IZDACI</w:t>
            </w:r>
          </w:p>
        </w:tc>
        <w:tc>
          <w:tcPr>
            <w:tcW w:w="0" w:type="auto"/>
          </w:tcPr>
          <w:p w14:paraId="5AFB9737" w14:textId="77777777" w:rsidR="009832AE" w:rsidRPr="00C44401" w:rsidRDefault="009832AE" w:rsidP="00653E87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269.100,00</w:t>
            </w:r>
          </w:p>
        </w:tc>
        <w:tc>
          <w:tcPr>
            <w:tcW w:w="0" w:type="auto"/>
          </w:tcPr>
          <w:p w14:paraId="00E4F8F8" w14:textId="77777777" w:rsidR="009832AE" w:rsidRPr="00C44401" w:rsidRDefault="009832AE" w:rsidP="00653E87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-125,00</w:t>
            </w:r>
          </w:p>
        </w:tc>
        <w:tc>
          <w:tcPr>
            <w:tcW w:w="2215" w:type="dxa"/>
          </w:tcPr>
          <w:p w14:paraId="6B2FE95B" w14:textId="77777777" w:rsidR="009832AE" w:rsidRPr="00C44401" w:rsidRDefault="009832AE" w:rsidP="00653E87">
            <w:pPr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C44401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268.975,00</w:t>
            </w:r>
          </w:p>
        </w:tc>
      </w:tr>
    </w:tbl>
    <w:p w14:paraId="41E1C5F1" w14:textId="77777777" w:rsidR="009832AE" w:rsidRPr="00C44401" w:rsidRDefault="009832AE" w:rsidP="009832AE">
      <w:pPr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14:paraId="0D73925C" w14:textId="77777777" w:rsidR="009832AE" w:rsidRPr="00C44401" w:rsidRDefault="009832AE" w:rsidP="009832AE">
      <w:pPr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14:paraId="25C284CD" w14:textId="77777777" w:rsidR="009832AE" w:rsidRPr="00C44401" w:rsidRDefault="009832AE" w:rsidP="009832AE">
      <w:pPr>
        <w:jc w:val="both"/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  <w:u w:val="single"/>
        </w:rPr>
      </w:pPr>
      <w:r w:rsidRPr="00C44401"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  <w:u w:val="single"/>
        </w:rPr>
        <w:t>OBRAZLOŽENJE POSEBNOG DIJELA PRORAČUNA</w:t>
      </w:r>
    </w:p>
    <w:p w14:paraId="326D7AD9" w14:textId="77777777" w:rsidR="009832AE" w:rsidRPr="00C44401" w:rsidRDefault="009832AE" w:rsidP="009832AE">
      <w:pPr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14:paraId="2D0EB086" w14:textId="77777777" w:rsidR="009832AE" w:rsidRPr="00C44401" w:rsidRDefault="009832AE" w:rsidP="009832AE">
      <w:pPr>
        <w:jc w:val="both"/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</w:rPr>
        <w:t>Razdjel 1 Predstavnička i izvršna tijela</w:t>
      </w:r>
    </w:p>
    <w:p w14:paraId="2796C86B" w14:textId="77777777" w:rsidR="009832AE" w:rsidRPr="00C44401" w:rsidRDefault="009832AE" w:rsidP="009832AE">
      <w:pPr>
        <w:jc w:val="both"/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</w:rPr>
        <w:t>Glava 11 Općinsko vijeće i načelnica</w:t>
      </w:r>
    </w:p>
    <w:p w14:paraId="5E936C23" w14:textId="77777777" w:rsidR="009832AE" w:rsidRPr="00C44401" w:rsidRDefault="009832AE" w:rsidP="009832AE">
      <w:pPr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14:paraId="58A86E8E" w14:textId="77777777" w:rsidR="009832AE" w:rsidRPr="00C44401" w:rsidRDefault="009832AE" w:rsidP="009832AE">
      <w:pPr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b/>
          <w:bCs/>
          <w:noProof w:val="0"/>
          <w:sz w:val="24"/>
          <w:szCs w:val="24"/>
        </w:rPr>
        <w:t>Program 1000 Financiranje rada općinskog vijeća, načelnika</w:t>
      </w:r>
    </w:p>
    <w:p w14:paraId="50A61062" w14:textId="77777777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b/>
          <w:bCs/>
          <w:noProof w:val="0"/>
          <w:sz w:val="24"/>
          <w:szCs w:val="24"/>
        </w:rPr>
        <w:t>Aktivnost A100002 Ostali troškovi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ab/>
      </w:r>
    </w:p>
    <w:p w14:paraId="0DCF4E6E" w14:textId="4C9C9F3F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Rashodi poslovanja su povećani za 10.400,00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>, odnosno 20,35 % u odnosu na planirano, a odnose se na troškove sitnog inventara (200,00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 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), troškove tiska (5.200,00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) i ostale usluge promidžbe i informiranja (5.000,00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). </w:t>
      </w:r>
    </w:p>
    <w:p w14:paraId="608A65AB" w14:textId="77777777" w:rsidR="009832AE" w:rsidRPr="00C44401" w:rsidRDefault="009832AE" w:rsidP="009832AE">
      <w:pPr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14:paraId="386B3500" w14:textId="77777777" w:rsidR="009832AE" w:rsidRPr="00C44401" w:rsidRDefault="009832AE" w:rsidP="009832AE">
      <w:pPr>
        <w:jc w:val="both"/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</w:rPr>
        <w:lastRenderedPageBreak/>
        <w:t>Razdjel 2 Općinska uprava</w:t>
      </w:r>
    </w:p>
    <w:p w14:paraId="03DD1FB7" w14:textId="77777777" w:rsidR="009832AE" w:rsidRPr="00C44401" w:rsidRDefault="009832AE" w:rsidP="009832AE">
      <w:pPr>
        <w:jc w:val="both"/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</w:rPr>
        <w:t>Glava 21 Jedinstveni upravni odjel</w:t>
      </w:r>
    </w:p>
    <w:p w14:paraId="5516535F" w14:textId="77777777" w:rsidR="009832AE" w:rsidRPr="00C44401" w:rsidRDefault="009832AE" w:rsidP="009832AE">
      <w:pPr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14:paraId="54893D93" w14:textId="77777777" w:rsidR="009832AE" w:rsidRPr="00C44401" w:rsidRDefault="009832AE" w:rsidP="009832AE">
      <w:pPr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b/>
          <w:bCs/>
          <w:noProof w:val="0"/>
          <w:sz w:val="24"/>
          <w:szCs w:val="24"/>
        </w:rPr>
        <w:t>Program 1003 Funkcioniranje rada JUO-a</w:t>
      </w:r>
    </w:p>
    <w:p w14:paraId="300C16FB" w14:textId="77777777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b/>
          <w:bCs/>
          <w:noProof w:val="0"/>
          <w:sz w:val="24"/>
          <w:szCs w:val="24"/>
        </w:rPr>
        <w:t>Aktivnost A100001 Plaće zaposlenih i naknade</w:t>
      </w:r>
    </w:p>
    <w:p w14:paraId="5ADA6835" w14:textId="18C14647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Rashodi su povećani za 1.000,00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, odnosno 0,24% u odnosu na planirano, a odnose se na naknade za prijevoz na službenom putu u zemlji. </w:t>
      </w:r>
    </w:p>
    <w:p w14:paraId="07DCAEF8" w14:textId="77777777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38312148" w14:textId="77777777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b/>
          <w:bCs/>
          <w:noProof w:val="0"/>
          <w:sz w:val="24"/>
          <w:szCs w:val="24"/>
        </w:rPr>
        <w:t>Aktivnost A100002 Rashodi za materijal, energiju i usluge</w:t>
      </w:r>
    </w:p>
    <w:p w14:paraId="4FD6A20B" w14:textId="33C00D41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Rashodi su povećani za 4.490,00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, odnosno 2,75 % u odnosu na planirano, a odnose se na materijal za higijenske potrebe i njegu (500,00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), troškove plina (1.990,00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), usluge tekućeg i investicijskog održavanja građevinskih objekata tj. zgrade općine (2.000,00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>).</w:t>
      </w:r>
    </w:p>
    <w:p w14:paraId="7813667F" w14:textId="77777777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1B50028F" w14:textId="77777777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Aktivnost A100004 Nabava proizvedene dugotrajne imovine </w:t>
      </w:r>
    </w:p>
    <w:p w14:paraId="677EFB7E" w14:textId="47FA4AEC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Rashodi su povećani za 3.000,00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, odnosno 33,33 % u odnosu na planirano, a odnose se na ulaganja u računalne programe. </w:t>
      </w:r>
    </w:p>
    <w:p w14:paraId="0D82FEEC" w14:textId="77777777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757A57A8" w14:textId="77777777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Aktivnost A100007 Otplata </w:t>
      </w:r>
      <w:proofErr w:type="spellStart"/>
      <w:r w:rsidRPr="00C44401">
        <w:rPr>
          <w:rFonts w:ascii="Times New Roman" w:hAnsi="Times New Roman" w:cs="Times New Roman"/>
          <w:b/>
          <w:bCs/>
          <w:noProof w:val="0"/>
          <w:sz w:val="24"/>
          <w:szCs w:val="24"/>
        </w:rPr>
        <w:t>factoringa</w:t>
      </w:r>
      <w:proofErr w:type="spellEnd"/>
      <w:r w:rsidRPr="00C44401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  </w:t>
      </w:r>
    </w:p>
    <w:p w14:paraId="7181C383" w14:textId="68191D78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Rashodi su povećani za 431.244,96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, a prethodno nisu bili planirani te se odnose na izdatke za otplatu glavnice </w:t>
      </w:r>
      <w:proofErr w:type="spellStart"/>
      <w:r w:rsidRPr="00C44401">
        <w:rPr>
          <w:rFonts w:ascii="Times New Roman" w:hAnsi="Times New Roman" w:cs="Times New Roman"/>
          <w:noProof w:val="0"/>
          <w:sz w:val="24"/>
          <w:szCs w:val="24"/>
        </w:rPr>
        <w:t>factoringa</w:t>
      </w:r>
      <w:proofErr w:type="spellEnd"/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 kojim su podmireni rashodi za projekt uređenja nogometnog terena. </w:t>
      </w:r>
    </w:p>
    <w:p w14:paraId="1A365F9E" w14:textId="77777777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32FF00F3" w14:textId="77777777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b/>
          <w:bCs/>
          <w:noProof w:val="0"/>
          <w:sz w:val="24"/>
          <w:szCs w:val="24"/>
        </w:rPr>
        <w:t>Aktivnost A100008 Otplata cesije</w:t>
      </w:r>
    </w:p>
    <w:p w14:paraId="7BD427DD" w14:textId="268C675A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Rashodi su povećani za 346.910,25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, a prethodno nisu bili planirani te se odnose na izdatke za otplatu cesije kojom su podmireni rashodi za projekt uređenja nogometnog terena. </w:t>
      </w:r>
    </w:p>
    <w:p w14:paraId="150A5554" w14:textId="77777777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48783DB9" w14:textId="77777777" w:rsidR="009832AE" w:rsidRPr="00C44401" w:rsidRDefault="009832AE" w:rsidP="009832AE">
      <w:pPr>
        <w:jc w:val="both"/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</w:rPr>
        <w:t xml:space="preserve">Glava 23 Društvena djelatnost </w:t>
      </w:r>
    </w:p>
    <w:p w14:paraId="47E4C39D" w14:textId="77777777" w:rsidR="009832AE" w:rsidRPr="00C44401" w:rsidRDefault="009832AE" w:rsidP="009832AE">
      <w:pPr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14:paraId="2E313CF9" w14:textId="77777777" w:rsidR="009832AE" w:rsidRPr="00C44401" w:rsidRDefault="009832AE" w:rsidP="009832AE">
      <w:pPr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Program 1006 Predškolski odgoj </w:t>
      </w:r>
    </w:p>
    <w:p w14:paraId="31FCD541" w14:textId="77777777" w:rsidR="009832AE" w:rsidRPr="00C44401" w:rsidRDefault="009832AE" w:rsidP="009832AE">
      <w:pPr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b/>
          <w:bCs/>
          <w:noProof w:val="0"/>
          <w:sz w:val="24"/>
          <w:szCs w:val="24"/>
        </w:rPr>
        <w:t>Aktivnost A100003 Sufinanciranje djece u vrtićima izvan općine</w:t>
      </w:r>
    </w:p>
    <w:p w14:paraId="4B8DEC50" w14:textId="4B89036B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Povećanje rashoda u iznosu od 20.000,00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, odnosno 66,67 % u odnosu na planirano, a odnosi se na rashode za sufinanciranje troškova vrtića za djecu u vrtićima izvan </w:t>
      </w:r>
      <w:r w:rsidR="00C44401">
        <w:rPr>
          <w:rFonts w:ascii="Times New Roman" w:hAnsi="Times New Roman" w:cs="Times New Roman"/>
          <w:noProof w:val="0"/>
          <w:sz w:val="24"/>
          <w:szCs w:val="24"/>
        </w:rPr>
        <w:t>O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>pćine</w:t>
      </w:r>
      <w:r w:rsidR="00C44401">
        <w:rPr>
          <w:rFonts w:ascii="Times New Roman" w:hAnsi="Times New Roman" w:cs="Times New Roman"/>
          <w:noProof w:val="0"/>
          <w:sz w:val="24"/>
          <w:szCs w:val="24"/>
        </w:rPr>
        <w:t xml:space="preserve"> Krapinske Toplice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. </w:t>
      </w:r>
    </w:p>
    <w:p w14:paraId="1EAFA0C4" w14:textId="77777777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52B741AA" w14:textId="77777777" w:rsidR="009832AE" w:rsidRPr="00C44401" w:rsidRDefault="009832AE" w:rsidP="009832AE">
      <w:pPr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b/>
          <w:bCs/>
          <w:noProof w:val="0"/>
          <w:sz w:val="24"/>
          <w:szCs w:val="24"/>
        </w:rPr>
        <w:t>Program 1007 Izgradnja dječjeg vrtića Maslačak</w:t>
      </w:r>
    </w:p>
    <w:p w14:paraId="5B5EF504" w14:textId="77777777" w:rsidR="009832AE" w:rsidRPr="00C44401" w:rsidRDefault="009832AE" w:rsidP="009832AE">
      <w:pPr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Kapitalni projekt K100703 Rekonstrukcija i prenamjena područne škole Mala </w:t>
      </w:r>
      <w:proofErr w:type="spellStart"/>
      <w:r w:rsidRPr="00C44401">
        <w:rPr>
          <w:rFonts w:ascii="Times New Roman" w:hAnsi="Times New Roman" w:cs="Times New Roman"/>
          <w:b/>
          <w:bCs/>
          <w:noProof w:val="0"/>
          <w:sz w:val="24"/>
          <w:szCs w:val="24"/>
        </w:rPr>
        <w:t>Erpenja</w:t>
      </w:r>
      <w:proofErr w:type="spellEnd"/>
      <w:r w:rsidRPr="00C44401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 u područni vrtić Maslačak</w:t>
      </w:r>
    </w:p>
    <w:p w14:paraId="64EA879F" w14:textId="00CF8758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Ovim izmjenama proračuna planirana su povećanja sredstva za kapitalni projekt rekonstrukcije i prenamjene područne škole Mala </w:t>
      </w:r>
      <w:proofErr w:type="spellStart"/>
      <w:r w:rsidRPr="00C44401">
        <w:rPr>
          <w:rFonts w:ascii="Times New Roman" w:hAnsi="Times New Roman" w:cs="Times New Roman"/>
          <w:noProof w:val="0"/>
          <w:sz w:val="24"/>
          <w:szCs w:val="24"/>
        </w:rPr>
        <w:t>Erpenja</w:t>
      </w:r>
      <w:proofErr w:type="spellEnd"/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 u područni vrtić Maslačak iznosu od 457.470,71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, odnosno 18,44 % u odnosu na planirano. Sredstva su povećana za rashode za radove (329.350,71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), voditelja projekta (3.375,00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), opremanje (123.495,00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) i provođenje javne nabave (6.250,00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). Smanjena su jedino sredstva za stručni nadzor i koordinatora (5.000,00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>)</w:t>
      </w:r>
    </w:p>
    <w:p w14:paraId="1461D18E" w14:textId="77777777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07B0F28E" w14:textId="77777777" w:rsidR="009832AE" w:rsidRPr="00C44401" w:rsidRDefault="009832AE" w:rsidP="009832AE">
      <w:pPr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Program 1008 Osnovno i srednjoškolsko obrazovanje </w:t>
      </w:r>
    </w:p>
    <w:p w14:paraId="2A55ED61" w14:textId="77777777" w:rsidR="009832AE" w:rsidRPr="00C44401" w:rsidRDefault="009832AE" w:rsidP="009832AE">
      <w:pPr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Kapitalni projekt K100801 Izgradnja dvorane uz OŠ Krapinske Toplice </w:t>
      </w:r>
    </w:p>
    <w:p w14:paraId="3D807A21" w14:textId="567994B3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noProof w:val="0"/>
          <w:sz w:val="24"/>
          <w:szCs w:val="24"/>
        </w:rPr>
        <w:t>Ovim izmjenama proračuna planirano je smanjenje sredstva za kapitalni projekt Izgradnje dvorane uz O</w:t>
      </w:r>
      <w:r w:rsidR="00C44401">
        <w:rPr>
          <w:rFonts w:ascii="Times New Roman" w:hAnsi="Times New Roman" w:cs="Times New Roman"/>
          <w:noProof w:val="0"/>
          <w:sz w:val="24"/>
          <w:szCs w:val="24"/>
        </w:rPr>
        <w:t>snovnu školu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 Krapinske Toplice u iznosu od 187.687,50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, odnosno 78,96 % u odnosu na planirano jer je izgradnja krenula kasnije od očekivanog pa ne budu potrošena prethodno planirana sredstva. </w:t>
      </w:r>
    </w:p>
    <w:p w14:paraId="3F15FB6C" w14:textId="77777777" w:rsidR="009832AE" w:rsidRPr="00C44401" w:rsidRDefault="009832AE" w:rsidP="009832AE">
      <w:pPr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b/>
          <w:bCs/>
          <w:noProof w:val="0"/>
          <w:sz w:val="24"/>
          <w:szCs w:val="24"/>
        </w:rPr>
        <w:lastRenderedPageBreak/>
        <w:t>Program 1009 Socijalna skrb</w:t>
      </w:r>
    </w:p>
    <w:p w14:paraId="495B22B8" w14:textId="77777777" w:rsidR="009832AE" w:rsidRPr="00C44401" w:rsidRDefault="009832AE" w:rsidP="009832AE">
      <w:pPr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b/>
          <w:bCs/>
          <w:noProof w:val="0"/>
          <w:sz w:val="24"/>
          <w:szCs w:val="24"/>
        </w:rPr>
        <w:t>Aktivnost A100001 Socijalni program</w:t>
      </w:r>
    </w:p>
    <w:p w14:paraId="484FC76F" w14:textId="15102D3B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Povećanje rashoda u iznosu 18.000,00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, odnosno 12,12 % u odnosu na planirano, a odnosi se na povećanje rashoda za pomoć za opremu novorođenog djeteta.  </w:t>
      </w:r>
    </w:p>
    <w:p w14:paraId="0C00E0EB" w14:textId="77777777" w:rsidR="00E0122C" w:rsidRPr="00C44401" w:rsidRDefault="00E0122C" w:rsidP="009832AE">
      <w:pPr>
        <w:jc w:val="both"/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</w:rPr>
      </w:pPr>
    </w:p>
    <w:p w14:paraId="7877E22E" w14:textId="3C3658FE" w:rsidR="009832AE" w:rsidRPr="00C44401" w:rsidRDefault="009832AE" w:rsidP="009832AE">
      <w:pPr>
        <w:jc w:val="both"/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</w:rPr>
        <w:t>Glava 24 Stambene i komunalne djelatnosti prostornog uređenja i zaštite</w:t>
      </w:r>
    </w:p>
    <w:p w14:paraId="2A2CF70C" w14:textId="77777777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1A0E5669" w14:textId="77777777" w:rsidR="009832AE" w:rsidRPr="00C44401" w:rsidRDefault="009832AE" w:rsidP="009832AE">
      <w:pPr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b/>
          <w:bCs/>
          <w:noProof w:val="0"/>
          <w:sz w:val="24"/>
          <w:szCs w:val="24"/>
        </w:rPr>
        <w:t>Program 1011 Održavanje komunalne infrastrukture</w:t>
      </w:r>
    </w:p>
    <w:p w14:paraId="3315C5D3" w14:textId="77777777" w:rsidR="009832AE" w:rsidRPr="00C44401" w:rsidRDefault="009832AE" w:rsidP="009832AE">
      <w:pPr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b/>
          <w:bCs/>
          <w:noProof w:val="0"/>
          <w:sz w:val="24"/>
          <w:szCs w:val="24"/>
        </w:rPr>
        <w:t>Aktivnost A100002 Tekuće i investicijsko održavanje</w:t>
      </w:r>
    </w:p>
    <w:p w14:paraId="6552F4A9" w14:textId="61E1F795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Povećavaju se sredstva za 24.495,00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, odnosno za 3,95 % u odnosu na planirano, a odnosi se na rashode za kamate za revolving kredit (7.000,00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), troškove kamate za primljene kredite od tuzemnih kreditnih institucija izvan javnog sektora (4.000,00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>), rashode za kameni materijal (12.295,00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) i održavanje cestovnih površina (1.200,00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). </w:t>
      </w:r>
    </w:p>
    <w:p w14:paraId="3A80DC66" w14:textId="77777777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7C940932" w14:textId="77777777" w:rsidR="009832AE" w:rsidRPr="00C44401" w:rsidRDefault="009832AE" w:rsidP="009832AE">
      <w:pPr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b/>
          <w:bCs/>
          <w:noProof w:val="0"/>
          <w:sz w:val="24"/>
          <w:szCs w:val="24"/>
        </w:rPr>
        <w:t>Program 1012 Izgradnja komunalne infrastrukture</w:t>
      </w:r>
    </w:p>
    <w:p w14:paraId="5631C2B1" w14:textId="77777777" w:rsidR="009832AE" w:rsidRPr="00C44401" w:rsidRDefault="009832AE" w:rsidP="009832AE">
      <w:pPr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b/>
          <w:bCs/>
          <w:noProof w:val="0"/>
          <w:sz w:val="24"/>
          <w:szCs w:val="24"/>
        </w:rPr>
        <w:t>Aktivnost A100001 Gradnja objekata komunalne infrastrukture</w:t>
      </w:r>
    </w:p>
    <w:p w14:paraId="4E06E022" w14:textId="403E63AE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Povećavaju se sredstva za 113.671,20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, odnosno za 32,25 % u odnosu na planirano, a odnosi se na izgradnju javne rasvjete (55.000,00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) te izgradnju dječjih igrališta (58.671,20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). Kod izgradnje javne rasvjete radi se o rashodima iz prethodne godine koji nisu ostvareni po ugovoru koji je sklopljen, rashodima za izgradnju javne rasvjete u naselju Lovreća Sela (odvojak </w:t>
      </w:r>
      <w:proofErr w:type="spellStart"/>
      <w:r w:rsidRPr="00C44401">
        <w:rPr>
          <w:rFonts w:ascii="Times New Roman" w:hAnsi="Times New Roman" w:cs="Times New Roman"/>
          <w:noProof w:val="0"/>
          <w:sz w:val="24"/>
          <w:szCs w:val="24"/>
        </w:rPr>
        <w:t>Šorši</w:t>
      </w:r>
      <w:proofErr w:type="spellEnd"/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, Leskovar, Jagić), rashodima za nabavu LED lampi i nosača te rashodima za elektroenergetske </w:t>
      </w:r>
      <w:proofErr w:type="spellStart"/>
      <w:r w:rsidRPr="00C44401">
        <w:rPr>
          <w:rFonts w:ascii="Times New Roman" w:hAnsi="Times New Roman" w:cs="Times New Roman"/>
          <w:noProof w:val="0"/>
          <w:sz w:val="24"/>
          <w:szCs w:val="24"/>
        </w:rPr>
        <w:t>suglanosti</w:t>
      </w:r>
      <w:proofErr w:type="spellEnd"/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 za nove priključke. Izgradnja dječjih igrališta odnosi se na izgradnju dječjeg igrališta u naselju </w:t>
      </w:r>
      <w:proofErr w:type="spellStart"/>
      <w:r w:rsidRPr="00C44401">
        <w:rPr>
          <w:rFonts w:ascii="Times New Roman" w:hAnsi="Times New Roman" w:cs="Times New Roman"/>
          <w:noProof w:val="0"/>
          <w:sz w:val="24"/>
          <w:szCs w:val="24"/>
        </w:rPr>
        <w:t>Čret</w:t>
      </w:r>
      <w:proofErr w:type="spellEnd"/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 i naselju </w:t>
      </w:r>
      <w:proofErr w:type="spellStart"/>
      <w:r w:rsidRPr="00C44401">
        <w:rPr>
          <w:rFonts w:ascii="Times New Roman" w:hAnsi="Times New Roman" w:cs="Times New Roman"/>
          <w:noProof w:val="0"/>
          <w:sz w:val="24"/>
          <w:szCs w:val="24"/>
        </w:rPr>
        <w:t>Klupci</w:t>
      </w:r>
      <w:proofErr w:type="spellEnd"/>
      <w:r w:rsidRPr="00C44401"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14:paraId="78D15E67" w14:textId="77777777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131F7E65" w14:textId="77777777" w:rsidR="009832AE" w:rsidRPr="00C44401" w:rsidRDefault="009832AE" w:rsidP="009832AE">
      <w:pPr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b/>
          <w:bCs/>
          <w:noProof w:val="0"/>
          <w:sz w:val="24"/>
          <w:szCs w:val="24"/>
        </w:rPr>
        <w:t>Aktivnost A100013 Uređenje šetnice Ulica Antuna Mihanovića</w:t>
      </w:r>
    </w:p>
    <w:p w14:paraId="3A40AE9A" w14:textId="37618F5D" w:rsidR="009832AE" w:rsidRPr="00C44401" w:rsidRDefault="009832AE" w:rsidP="009832AE">
      <w:pPr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Aktivnost uređenje šetnice Ulice Antuna Mihanovića se prebacuje u sljedeće proračunsko razdoblje te su rashodi smanjeni za 213.544,29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>, odnosno 100,00% u odnosu na planirano.</w:t>
      </w:r>
    </w:p>
    <w:p w14:paraId="5E770F7A" w14:textId="77777777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1899AABE" w14:textId="77777777" w:rsidR="009832AE" w:rsidRPr="00C44401" w:rsidRDefault="009832AE" w:rsidP="009832AE">
      <w:pPr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b/>
          <w:bCs/>
          <w:noProof w:val="0"/>
          <w:sz w:val="24"/>
          <w:szCs w:val="24"/>
        </w:rPr>
        <w:t>Aktivnost A100014 Energetska obnova Društvenih domova</w:t>
      </w:r>
    </w:p>
    <w:p w14:paraId="5A37F252" w14:textId="39773869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Za aktivnost energetske obnove društvenih domova povećani su rashodi za 8.662,50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 odnosno za 32,69 % u odnosu na planirano. Aktivnost se odnosi energetsku obnovu društvenih domova u </w:t>
      </w:r>
      <w:proofErr w:type="spellStart"/>
      <w:r w:rsidRPr="00C44401">
        <w:rPr>
          <w:rFonts w:ascii="Times New Roman" w:hAnsi="Times New Roman" w:cs="Times New Roman"/>
          <w:noProof w:val="0"/>
          <w:sz w:val="24"/>
          <w:szCs w:val="24"/>
        </w:rPr>
        <w:t>Selnom</w:t>
      </w:r>
      <w:proofErr w:type="spellEnd"/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 i Maloj </w:t>
      </w:r>
      <w:proofErr w:type="spellStart"/>
      <w:r w:rsidRPr="00C44401">
        <w:rPr>
          <w:rFonts w:ascii="Times New Roman" w:hAnsi="Times New Roman" w:cs="Times New Roman"/>
          <w:noProof w:val="0"/>
          <w:sz w:val="24"/>
          <w:szCs w:val="24"/>
        </w:rPr>
        <w:t>Erepnji</w:t>
      </w:r>
      <w:proofErr w:type="spellEnd"/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, a sredstva su povećana za projektnu dokumentaciju (1.500,00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), konzultantske usluge (3.687,50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), izradu energetskih certifikata (1.600,00 €) i izradu procjene klimatske otpornosti (1.875,00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>)</w:t>
      </w:r>
    </w:p>
    <w:p w14:paraId="2F580F94" w14:textId="77777777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605A67CC" w14:textId="77777777" w:rsidR="009832AE" w:rsidRPr="00C44401" w:rsidRDefault="009832AE" w:rsidP="009832AE">
      <w:pPr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Aktivnost A100021 Otkup poslovnog prostora   </w:t>
      </w:r>
    </w:p>
    <w:p w14:paraId="074CDE72" w14:textId="1CEB6574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Aktivnost otkupa poslovnog prostora se prebacuje u sljedeće proračunsko razdoblje te su rashodi smanjeni za 100.000,00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>, odnosno 100,00% u odnosu na planirano</w:t>
      </w:r>
    </w:p>
    <w:p w14:paraId="2AFE6D05" w14:textId="77777777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7DA915BB" w14:textId="77777777" w:rsidR="009832AE" w:rsidRPr="00C44401" w:rsidRDefault="009832AE" w:rsidP="009832AE">
      <w:pPr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Kapitalni projekt K100017 Otkup zemljišta </w:t>
      </w:r>
    </w:p>
    <w:p w14:paraId="5AB39A9F" w14:textId="0D9FC319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Za projekt otkupa zemljišta povećani su rashodi za 23.000,00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 odnosno 100,00 % u odnosu na planirano.</w:t>
      </w:r>
    </w:p>
    <w:p w14:paraId="373FB0FC" w14:textId="77777777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21758A9E" w14:textId="77777777" w:rsidR="009832AE" w:rsidRPr="00C44401" w:rsidRDefault="009832AE" w:rsidP="009832AE">
      <w:pPr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Kapitalni projekt K100018 Toplice kulture  </w:t>
      </w:r>
    </w:p>
    <w:p w14:paraId="3553856C" w14:textId="450C5326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Za kapitalni projekt uređenja prostora doma kulture tj. za projekt „Toplice kulture“ smanjena su sredstva u iznosu -2.780.401,71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 odnosno 50,66 % u odnosu na planirano. Rashodi za projekt razgraničeni su ovisno o tome koji su rashodi prema projektu planirani u 2026., a koji u 2027. godini.  </w:t>
      </w:r>
    </w:p>
    <w:p w14:paraId="603258A6" w14:textId="77777777" w:rsidR="009832AE" w:rsidRDefault="009832AE" w:rsidP="009832AE">
      <w:pPr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14:paraId="7DDD399E" w14:textId="77777777" w:rsidR="00C44401" w:rsidRPr="00C44401" w:rsidRDefault="00C44401" w:rsidP="009832AE">
      <w:pPr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14:paraId="067FBF09" w14:textId="77777777" w:rsidR="009832AE" w:rsidRPr="00C44401" w:rsidRDefault="009832AE" w:rsidP="009832AE">
      <w:pPr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b/>
          <w:bCs/>
          <w:noProof w:val="0"/>
          <w:sz w:val="24"/>
          <w:szCs w:val="24"/>
        </w:rPr>
        <w:lastRenderedPageBreak/>
        <w:t>Program 1018 Uređenje zapadnog dijela centra</w:t>
      </w:r>
    </w:p>
    <w:p w14:paraId="6DD070DE" w14:textId="77777777" w:rsidR="009832AE" w:rsidRPr="00C44401" w:rsidRDefault="009832AE" w:rsidP="009832AE">
      <w:pPr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b/>
          <w:bCs/>
          <w:noProof w:val="0"/>
          <w:sz w:val="24"/>
          <w:szCs w:val="24"/>
        </w:rPr>
        <w:t>Aktivnost A100002 Izgradnja parkirališta, šetnice, mosta</w:t>
      </w:r>
    </w:p>
    <w:p w14:paraId="7086E21E" w14:textId="618C55AF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Za navedenu aktivnost povećavaju se sredstava za 185.295,93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, odnosno 25,88% u odnosu na planirano zato što se navedena aktivnost planirala završiti prethodne godine. Također za navedeni projekt ove je godina dobivena odluka o sufinanciranju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opskog fonda za regionalni razvoj. Rashodi poslovanja povećani su za 44.880,00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, a rashodi za nabavu nefinancijske imovine za 140.415,93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. Rashodi poslovanja obuhvaćaju trošak plaće djelatnika, upravljanje projektom i administraciju, horizontalna načela, provedbu projekta, promidžbu i vidljivost projekta te rashode evidentiranja zelene infrastrukture. </w:t>
      </w:r>
    </w:p>
    <w:p w14:paraId="019D8147" w14:textId="77777777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12753552" w14:textId="77777777" w:rsidR="009832AE" w:rsidRPr="00C44401" w:rsidRDefault="009832AE" w:rsidP="009832AE">
      <w:pPr>
        <w:jc w:val="both"/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</w:rPr>
        <w:t>Glava 25 Protupožarna zaštita, turizam i poljoprivreda</w:t>
      </w:r>
    </w:p>
    <w:p w14:paraId="358B4AEE" w14:textId="77777777" w:rsidR="009832AE" w:rsidRPr="00C44401" w:rsidRDefault="009832AE" w:rsidP="009832AE">
      <w:pPr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14:paraId="3BC65E05" w14:textId="77777777" w:rsidR="009832AE" w:rsidRPr="00C44401" w:rsidRDefault="009832AE" w:rsidP="009832AE">
      <w:pPr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b/>
          <w:bCs/>
          <w:noProof w:val="0"/>
          <w:sz w:val="24"/>
          <w:szCs w:val="24"/>
        </w:rPr>
        <w:t>Program 1015 Poticanje razvoja turizma</w:t>
      </w:r>
    </w:p>
    <w:p w14:paraId="4411C7F9" w14:textId="77777777" w:rsidR="009832AE" w:rsidRPr="00C44401" w:rsidRDefault="009832AE" w:rsidP="009832AE">
      <w:pPr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b/>
          <w:bCs/>
          <w:noProof w:val="0"/>
          <w:sz w:val="24"/>
          <w:szCs w:val="24"/>
        </w:rPr>
        <w:t>Aktivnost A100001 Prijenos sredstava za turističku zajednicu</w:t>
      </w:r>
    </w:p>
    <w:p w14:paraId="79317358" w14:textId="6EAED327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Rashodi su povećani za 24.000,00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, odnosno 16,00 % u odnosu na planirano, a to povećanje odnosi se na sufinanciranje aktivnosti (Zimska toplička bajka 2025.) TZP Srce Zagorja iz prethodne godine za što su sredstva isplaćena ove godine i sufinanciranje rada stručne službe TZP Srce Zagorja. </w:t>
      </w:r>
    </w:p>
    <w:p w14:paraId="7922F9A4" w14:textId="77777777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4DD00063" w14:textId="77777777" w:rsidR="009832AE" w:rsidRPr="00C44401" w:rsidRDefault="009832AE" w:rsidP="009832AE">
      <w:pPr>
        <w:jc w:val="both"/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</w:rPr>
        <w:t>Glava 26 Ostali javni izdaci</w:t>
      </w:r>
    </w:p>
    <w:p w14:paraId="3FABC0E3" w14:textId="77777777" w:rsidR="009832AE" w:rsidRPr="00C44401" w:rsidRDefault="009832AE" w:rsidP="009832AE">
      <w:pPr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14:paraId="3B13A606" w14:textId="77777777" w:rsidR="009832AE" w:rsidRPr="00C44401" w:rsidRDefault="009832AE" w:rsidP="009832AE">
      <w:pPr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b/>
          <w:bCs/>
          <w:noProof w:val="0"/>
          <w:sz w:val="24"/>
          <w:szCs w:val="24"/>
        </w:rPr>
        <w:t>Program 1017 Financiranje ostalih javnih potreba</w:t>
      </w:r>
    </w:p>
    <w:p w14:paraId="7BD4FAAF" w14:textId="77777777" w:rsidR="009832AE" w:rsidRPr="00C44401" w:rsidRDefault="009832AE" w:rsidP="009832AE">
      <w:pPr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b/>
          <w:bCs/>
          <w:noProof w:val="0"/>
          <w:sz w:val="24"/>
          <w:szCs w:val="24"/>
        </w:rPr>
        <w:t>Aktivnost A100002 Ostali rashodi iz javnih potreba</w:t>
      </w:r>
    </w:p>
    <w:p w14:paraId="34A208DB" w14:textId="3CAC9567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Rashodi su povećani za 7.875,00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, odnosno 6,13 % u odnosu na planirano, a to povećanje odnosi se na rashode za strategiju upravljanja imovinom (3.125,00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), evidentiranje komunalne infrastrukture (750,00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) te ostale nespomenute usluge (4.000,00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).  </w:t>
      </w:r>
    </w:p>
    <w:p w14:paraId="473A8802" w14:textId="77777777" w:rsidR="009832AE" w:rsidRPr="00C44401" w:rsidRDefault="009832AE" w:rsidP="009832AE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2B809563" w14:textId="77777777" w:rsidR="009832AE" w:rsidRPr="00C44401" w:rsidRDefault="009832AE" w:rsidP="009832AE">
      <w:pPr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b/>
          <w:bCs/>
          <w:noProof w:val="0"/>
          <w:sz w:val="24"/>
          <w:szCs w:val="24"/>
        </w:rPr>
        <w:t>Aktivnost A100004 Ostale javne potrebe</w:t>
      </w:r>
    </w:p>
    <w:p w14:paraId="7EEFB693" w14:textId="251E0584" w:rsidR="009832AE" w:rsidRPr="00C44401" w:rsidRDefault="009832AE" w:rsidP="00E0122C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Rashodi su smanjeni za 8.000,00 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>eura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>, odnosno 12,18 % u odnosu na planirano, a smanjenje</w:t>
      </w:r>
      <w:r w:rsidR="00E0122C"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 se </w:t>
      </w:r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 odnosi na rashode za plaću poljoprivrednog redara koji od mjeseca travnja više nije zaposlen u sklopu funkcionalnog spajanja između Općine Krapinske Toplice, grada Pregrade i Općine </w:t>
      </w:r>
      <w:proofErr w:type="spellStart"/>
      <w:r w:rsidRPr="00C44401">
        <w:rPr>
          <w:rFonts w:ascii="Times New Roman" w:hAnsi="Times New Roman" w:cs="Times New Roman"/>
          <w:noProof w:val="0"/>
          <w:sz w:val="24"/>
          <w:szCs w:val="24"/>
        </w:rPr>
        <w:t>Desinić</w:t>
      </w:r>
      <w:proofErr w:type="spellEnd"/>
      <w:r w:rsidRPr="00C44401">
        <w:rPr>
          <w:rFonts w:ascii="Times New Roman" w:hAnsi="Times New Roman" w:cs="Times New Roman"/>
          <w:noProof w:val="0"/>
          <w:sz w:val="24"/>
          <w:szCs w:val="24"/>
        </w:rPr>
        <w:t xml:space="preserve">. </w:t>
      </w:r>
    </w:p>
    <w:p w14:paraId="4D3C2DC5" w14:textId="77777777" w:rsidR="009832AE" w:rsidRPr="00C44401" w:rsidRDefault="009832AE" w:rsidP="009832AE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18B4CEE3" w14:textId="77777777" w:rsidR="009832AE" w:rsidRPr="00C44401" w:rsidRDefault="009832AE" w:rsidP="009832AE">
      <w:pPr>
        <w:jc w:val="right"/>
        <w:rPr>
          <w:rFonts w:ascii="Times New Roman" w:hAnsi="Times New Roman" w:cs="Times New Roman"/>
          <w:b/>
          <w:noProof w:val="0"/>
          <w:sz w:val="24"/>
          <w:szCs w:val="24"/>
        </w:rPr>
      </w:pPr>
    </w:p>
    <w:p w14:paraId="6B7198A7" w14:textId="77777777" w:rsidR="009832AE" w:rsidRPr="00C44401" w:rsidRDefault="009832AE" w:rsidP="009832AE">
      <w:pPr>
        <w:jc w:val="right"/>
        <w:rPr>
          <w:rFonts w:ascii="Times New Roman" w:hAnsi="Times New Roman" w:cs="Times New Roman"/>
          <w:bCs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bCs/>
          <w:noProof w:val="0"/>
          <w:sz w:val="24"/>
          <w:szCs w:val="24"/>
        </w:rPr>
        <w:t>OPĆINSKA NAČELNICA</w:t>
      </w:r>
    </w:p>
    <w:p w14:paraId="7FFA35BA" w14:textId="77777777" w:rsidR="009832AE" w:rsidRPr="00C44401" w:rsidRDefault="009832AE" w:rsidP="009832AE">
      <w:pPr>
        <w:jc w:val="center"/>
        <w:rPr>
          <w:rFonts w:ascii="Times New Roman" w:hAnsi="Times New Roman" w:cs="Times New Roman"/>
          <w:bCs/>
          <w:noProof w:val="0"/>
          <w:sz w:val="24"/>
          <w:szCs w:val="24"/>
        </w:rPr>
      </w:pPr>
    </w:p>
    <w:p w14:paraId="3CEC1289" w14:textId="0B050BF7" w:rsidR="009832AE" w:rsidRPr="00C44401" w:rsidRDefault="009832AE" w:rsidP="009832AE">
      <w:pPr>
        <w:ind w:left="6372"/>
        <w:jc w:val="center"/>
        <w:rPr>
          <w:rFonts w:ascii="Times New Roman" w:hAnsi="Times New Roman" w:cs="Times New Roman"/>
          <w:bCs/>
          <w:noProof w:val="0"/>
          <w:sz w:val="24"/>
          <w:szCs w:val="24"/>
        </w:rPr>
      </w:pPr>
      <w:r w:rsidRPr="00C44401">
        <w:rPr>
          <w:rFonts w:ascii="Times New Roman" w:hAnsi="Times New Roman" w:cs="Times New Roman"/>
          <w:bCs/>
          <w:noProof w:val="0"/>
          <w:sz w:val="24"/>
          <w:szCs w:val="24"/>
        </w:rPr>
        <w:t xml:space="preserve"> Gordana Jureković</w:t>
      </w:r>
    </w:p>
    <w:p w14:paraId="478FF640" w14:textId="77777777" w:rsidR="009832AE" w:rsidRPr="00C44401" w:rsidRDefault="009832AE" w:rsidP="009832AE">
      <w:pPr>
        <w:rPr>
          <w:rFonts w:ascii="Times New Roman" w:hAnsi="Times New Roman" w:cs="Times New Roman"/>
          <w:b/>
          <w:noProof w:val="0"/>
          <w:sz w:val="24"/>
          <w:szCs w:val="24"/>
        </w:rPr>
      </w:pPr>
    </w:p>
    <w:p w14:paraId="78E6BEFA" w14:textId="77777777" w:rsidR="009832AE" w:rsidRPr="00C44401" w:rsidRDefault="009832AE" w:rsidP="009832AE">
      <w:pPr>
        <w:jc w:val="right"/>
        <w:rPr>
          <w:rFonts w:ascii="Times New Roman" w:hAnsi="Times New Roman" w:cs="Times New Roman"/>
          <w:noProof w:val="0"/>
          <w:sz w:val="24"/>
          <w:szCs w:val="24"/>
        </w:rPr>
      </w:pPr>
    </w:p>
    <w:p w14:paraId="473972D5" w14:textId="77777777" w:rsidR="009832AE" w:rsidRPr="00C44401" w:rsidRDefault="009832AE" w:rsidP="009832AE">
      <w:pPr>
        <w:jc w:val="right"/>
        <w:rPr>
          <w:rFonts w:ascii="Times New Roman" w:hAnsi="Times New Roman" w:cs="Times New Roman"/>
          <w:noProof w:val="0"/>
          <w:sz w:val="24"/>
          <w:szCs w:val="24"/>
        </w:rPr>
      </w:pPr>
    </w:p>
    <w:p w14:paraId="01F73285" w14:textId="77777777" w:rsidR="009832AE" w:rsidRPr="00C44401" w:rsidRDefault="009832AE" w:rsidP="009832AE">
      <w:pPr>
        <w:rPr>
          <w:rFonts w:ascii="Times New Roman" w:hAnsi="Times New Roman" w:cs="Times New Roman"/>
          <w:noProof w:val="0"/>
          <w:sz w:val="24"/>
          <w:szCs w:val="24"/>
        </w:rPr>
      </w:pPr>
    </w:p>
    <w:sectPr w:rsidR="009832AE" w:rsidRPr="00C44401" w:rsidSect="00EF4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F0C8F"/>
    <w:multiLevelType w:val="hybridMultilevel"/>
    <w:tmpl w:val="31587F4E"/>
    <w:lvl w:ilvl="0" w:tplc="D01E94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51030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EEA"/>
    <w:rsid w:val="000B33F9"/>
    <w:rsid w:val="002120D1"/>
    <w:rsid w:val="00276131"/>
    <w:rsid w:val="002E5B41"/>
    <w:rsid w:val="0042081B"/>
    <w:rsid w:val="004B0AD3"/>
    <w:rsid w:val="00615CFD"/>
    <w:rsid w:val="00620325"/>
    <w:rsid w:val="0068186E"/>
    <w:rsid w:val="00693AB1"/>
    <w:rsid w:val="006C6D02"/>
    <w:rsid w:val="0075143F"/>
    <w:rsid w:val="00767F8A"/>
    <w:rsid w:val="008A562A"/>
    <w:rsid w:val="008C5FE5"/>
    <w:rsid w:val="008E6FC9"/>
    <w:rsid w:val="00921557"/>
    <w:rsid w:val="009832AE"/>
    <w:rsid w:val="009B2B9E"/>
    <w:rsid w:val="00A836D0"/>
    <w:rsid w:val="00AC35DA"/>
    <w:rsid w:val="00AF21A3"/>
    <w:rsid w:val="00AF4993"/>
    <w:rsid w:val="00B82554"/>
    <w:rsid w:val="00B92D0F"/>
    <w:rsid w:val="00C306B5"/>
    <w:rsid w:val="00C44401"/>
    <w:rsid w:val="00C9578C"/>
    <w:rsid w:val="00D12504"/>
    <w:rsid w:val="00D707B3"/>
    <w:rsid w:val="00E0122C"/>
    <w:rsid w:val="00E060DF"/>
    <w:rsid w:val="00E43228"/>
    <w:rsid w:val="00E543C3"/>
    <w:rsid w:val="00EF46AA"/>
    <w:rsid w:val="00F0110A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E9C1A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83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2079</Words>
  <Characters>11854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11</cp:revision>
  <cp:lastPrinted>2014-11-26T14:09:00Z</cp:lastPrinted>
  <dcterms:created xsi:type="dcterms:W3CDTF">2025-05-26T10:19:00Z</dcterms:created>
  <dcterms:modified xsi:type="dcterms:W3CDTF">2026-05-21T11:00:00Z</dcterms:modified>
</cp:coreProperties>
</file>