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5042E671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66A1F63" w14:textId="77777777" w:rsidR="00B92D0F" w:rsidRDefault="00B92D0F" w:rsidP="00785F4F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</w:t>
            </w:r>
            <w:proofErr w:type="spellStart"/>
            <w:r>
              <w:rPr>
                <w:rFonts w:ascii="PDF417x" w:hAnsi="PDF417x"/>
                <w:szCs w:val="24"/>
              </w:rPr>
              <w:t>xfs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pvs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Akl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cvA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xBj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qkc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ogw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lmk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mhs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cEc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pBk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yqw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usc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jli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irs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ugc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xDg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gjl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wvE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xCc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zew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eDs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ors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lyd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jDr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rlD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hlw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DuC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yCx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zfE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Aok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wwq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chk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sxC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wwn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hkc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kuC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uBi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uwz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onA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ftA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snE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oxA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kkx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pyi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vDl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cyc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thA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fyi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ybh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uws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  <w:t>+*</w:t>
            </w:r>
            <w:proofErr w:type="spellStart"/>
            <w:r>
              <w:rPr>
                <w:rFonts w:ascii="PDF417x" w:hAnsi="PDF417x"/>
                <w:szCs w:val="24"/>
              </w:rPr>
              <w:t>xjq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rkn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wnt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jnB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gcb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Btr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Fnw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rwu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boC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pzE</w:t>
            </w:r>
            <w:proofErr w:type="spellEnd"/>
            <w:r>
              <w:rPr>
                <w:rFonts w:ascii="PDF417x" w:hAnsi="PDF417x"/>
                <w:szCs w:val="24"/>
              </w:rPr>
              <w:t>*</w:t>
            </w:r>
            <w:proofErr w:type="spellStart"/>
            <w:r>
              <w:rPr>
                <w:rFonts w:ascii="PDF417x" w:hAnsi="PDF417x"/>
                <w:szCs w:val="24"/>
              </w:rPr>
              <w:t>uzq</w:t>
            </w:r>
            <w:proofErr w:type="spellEnd"/>
            <w:r>
              <w:rPr>
                <w:rFonts w:ascii="PDF417x" w:hAnsi="PDF417x"/>
                <w:szCs w:val="24"/>
              </w:rPr>
              <w:t>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</w:tbl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785F4F" w:rsidRPr="00FF1B9C" w14:paraId="5CC7382A" w14:textId="77777777" w:rsidTr="00E15F11">
        <w:tc>
          <w:tcPr>
            <w:tcW w:w="0" w:type="auto"/>
          </w:tcPr>
          <w:bookmarkEnd w:id="0"/>
          <w:p w14:paraId="61F706A8" w14:textId="77777777" w:rsidR="00785F4F" w:rsidRPr="00FF1B9C" w:rsidRDefault="00785F4F" w:rsidP="00E15F11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1EE4FE22" wp14:editId="51F62FA6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85F4F" w:rsidRPr="001435E1" w14:paraId="01C0E628" w14:textId="77777777" w:rsidTr="00E15F11">
        <w:tc>
          <w:tcPr>
            <w:tcW w:w="0" w:type="auto"/>
          </w:tcPr>
          <w:p w14:paraId="61C29AFE" w14:textId="77777777" w:rsidR="00785F4F" w:rsidRPr="001435E1" w:rsidRDefault="00785F4F" w:rsidP="00E15F11">
            <w:pPr>
              <w:jc w:val="center"/>
              <w:textAlignment w:val="baseline"/>
              <w:rPr>
                <w:rFonts w:eastAsia="Arial Unicode MS"/>
                <w:szCs w:val="24"/>
                <w:lang w:eastAsia="hr-HR"/>
              </w:rPr>
            </w:pPr>
            <w:r w:rsidRPr="001435E1">
              <w:rPr>
                <w:rFonts w:eastAsia="Times New Roman"/>
                <w:b/>
                <w:noProof/>
                <w:szCs w:val="24"/>
                <w:lang w:eastAsia="hr-HR"/>
              </w:rPr>
              <w:t>REPUBLIKA HRVATSKA</w:t>
            </w:r>
          </w:p>
        </w:tc>
      </w:tr>
      <w:tr w:rsidR="00785F4F" w:rsidRPr="001435E1" w14:paraId="1C4135FF" w14:textId="77777777" w:rsidTr="00E15F11">
        <w:tc>
          <w:tcPr>
            <w:tcW w:w="0" w:type="auto"/>
          </w:tcPr>
          <w:p w14:paraId="604A44E0" w14:textId="77777777" w:rsidR="00785F4F" w:rsidRPr="001435E1" w:rsidRDefault="00785F4F" w:rsidP="00E15F11">
            <w:pPr>
              <w:jc w:val="center"/>
              <w:rPr>
                <w:rFonts w:eastAsia="Calibri"/>
                <w:b/>
                <w:szCs w:val="24"/>
                <w:lang w:eastAsia="hr-HR"/>
              </w:rPr>
            </w:pPr>
            <w:r w:rsidRPr="001435E1">
              <w:rPr>
                <w:rFonts w:eastAsia="Calibri"/>
                <w:b/>
                <w:szCs w:val="24"/>
                <w:lang w:eastAsia="hr-HR"/>
              </w:rPr>
              <w:t>KRAPINSKO - ZAGORSKA ŽUPANIJA</w:t>
            </w:r>
          </w:p>
        </w:tc>
      </w:tr>
      <w:tr w:rsidR="00785F4F" w:rsidRPr="001435E1" w14:paraId="6D1AE11D" w14:textId="77777777" w:rsidTr="00E15F11">
        <w:tc>
          <w:tcPr>
            <w:tcW w:w="0" w:type="auto"/>
          </w:tcPr>
          <w:p w14:paraId="0CC14258" w14:textId="77777777" w:rsidR="00785F4F" w:rsidRPr="001435E1" w:rsidRDefault="00785F4F" w:rsidP="00E15F11">
            <w:pPr>
              <w:jc w:val="center"/>
              <w:rPr>
                <w:rFonts w:eastAsia="Calibri"/>
                <w:b/>
                <w:szCs w:val="24"/>
                <w:lang w:eastAsia="hr-HR"/>
              </w:rPr>
            </w:pPr>
            <w:r w:rsidRPr="001435E1">
              <w:rPr>
                <w:rFonts w:eastAsia="Calibri"/>
                <w:b/>
                <w:szCs w:val="24"/>
                <w:lang w:eastAsia="hr-HR"/>
              </w:rPr>
              <w:t>OPĆINA KRAPINSKE TOPLICE</w:t>
            </w:r>
          </w:p>
        </w:tc>
      </w:tr>
      <w:tr w:rsidR="00785F4F" w:rsidRPr="001435E1" w14:paraId="62F1DA19" w14:textId="77777777" w:rsidTr="00E15F11">
        <w:tc>
          <w:tcPr>
            <w:tcW w:w="0" w:type="auto"/>
          </w:tcPr>
          <w:p w14:paraId="3B3B09C0" w14:textId="77777777" w:rsidR="00785F4F" w:rsidRPr="001435E1" w:rsidRDefault="00785F4F" w:rsidP="00E15F11">
            <w:pPr>
              <w:jc w:val="center"/>
              <w:rPr>
                <w:rFonts w:eastAsia="Calibri"/>
                <w:b/>
                <w:szCs w:val="24"/>
                <w:lang w:eastAsia="hr-HR"/>
              </w:rPr>
            </w:pPr>
            <w:r w:rsidRPr="001435E1">
              <w:rPr>
                <w:rFonts w:eastAsia="Calibri"/>
                <w:b/>
                <w:szCs w:val="24"/>
                <w:lang w:eastAsia="hr-HR"/>
              </w:rPr>
              <w:t>OPĆINSKA NAČELNICA</w:t>
            </w:r>
          </w:p>
        </w:tc>
      </w:tr>
    </w:tbl>
    <w:p w14:paraId="7348D8A1" w14:textId="77777777" w:rsidR="00785F4F" w:rsidRPr="001435E1" w:rsidRDefault="00785F4F" w:rsidP="00276131">
      <w:pPr>
        <w:rPr>
          <w:rFonts w:eastAsia="Calibri"/>
          <w:szCs w:val="24"/>
          <w:lang w:eastAsia="hr-HR"/>
        </w:rPr>
      </w:pPr>
    </w:p>
    <w:p w14:paraId="4CAB99BD" w14:textId="77777777" w:rsidR="00276131" w:rsidRPr="001435E1" w:rsidRDefault="00276131" w:rsidP="00276131">
      <w:pPr>
        <w:rPr>
          <w:rFonts w:eastAsia="Times New Roman"/>
          <w:color w:val="000000"/>
          <w:szCs w:val="24"/>
          <w:lang w:eastAsia="hr-HR"/>
        </w:rPr>
      </w:pPr>
      <w:r w:rsidRPr="001435E1">
        <w:rPr>
          <w:rFonts w:eastAsia="Calibri"/>
          <w:szCs w:val="24"/>
          <w:lang w:eastAsia="hr-HR"/>
        </w:rPr>
        <w:t xml:space="preserve">KLASA: </w:t>
      </w:r>
      <w:r w:rsidRPr="001435E1">
        <w:rPr>
          <w:rFonts w:eastAsia="Times New Roman"/>
          <w:color w:val="000000"/>
          <w:szCs w:val="24"/>
          <w:lang w:eastAsia="hr-HR"/>
        </w:rPr>
        <w:t xml:space="preserve">400-01/26-01/11 </w:t>
      </w:r>
      <w:r w:rsidRPr="001435E1">
        <w:rPr>
          <w:rFonts w:eastAsia="Calibri"/>
          <w:szCs w:val="24"/>
          <w:lang w:eastAsia="hr-HR"/>
        </w:rPr>
        <w:t xml:space="preserve">                                                         </w:t>
      </w:r>
    </w:p>
    <w:p w14:paraId="6E35CE3C" w14:textId="77777777" w:rsidR="00276131" w:rsidRPr="001435E1" w:rsidRDefault="00276131" w:rsidP="00276131">
      <w:pPr>
        <w:rPr>
          <w:rFonts w:eastAsia="Times New Roman"/>
          <w:color w:val="000000"/>
          <w:szCs w:val="24"/>
          <w:lang w:eastAsia="hr-HR"/>
        </w:rPr>
      </w:pPr>
      <w:r w:rsidRPr="001435E1">
        <w:rPr>
          <w:rFonts w:eastAsia="Calibri"/>
          <w:szCs w:val="24"/>
          <w:lang w:eastAsia="hr-HR"/>
        </w:rPr>
        <w:t xml:space="preserve">URBROJ: </w:t>
      </w:r>
      <w:r w:rsidRPr="001435E1">
        <w:rPr>
          <w:rFonts w:eastAsia="Times New Roman"/>
          <w:color w:val="000000"/>
          <w:szCs w:val="24"/>
          <w:lang w:eastAsia="hr-HR"/>
        </w:rPr>
        <w:t>2140-18-01-26-1</w:t>
      </w:r>
    </w:p>
    <w:p w14:paraId="5BE79B48" w14:textId="74D1F5FB" w:rsidR="00BC406C" w:rsidRPr="001435E1" w:rsidRDefault="00276131" w:rsidP="00BC406C">
      <w:pPr>
        <w:rPr>
          <w:rFonts w:eastAsia="Times New Roman"/>
          <w:color w:val="000000"/>
          <w:szCs w:val="24"/>
          <w:lang w:eastAsia="hr-HR"/>
        </w:rPr>
      </w:pPr>
      <w:r w:rsidRPr="001435E1">
        <w:rPr>
          <w:rFonts w:eastAsia="Calibri"/>
          <w:szCs w:val="24"/>
          <w:lang w:eastAsia="hr-HR"/>
        </w:rPr>
        <w:t xml:space="preserve">Krapinske Toplice, </w:t>
      </w:r>
      <w:r w:rsidR="00BC406C" w:rsidRPr="001435E1">
        <w:rPr>
          <w:rFonts w:eastAsia="Calibri"/>
          <w:szCs w:val="24"/>
          <w:lang w:eastAsia="hr-HR"/>
        </w:rPr>
        <w:t>20</w:t>
      </w:r>
      <w:r w:rsidRPr="001435E1">
        <w:rPr>
          <w:rFonts w:eastAsia="Times New Roman"/>
          <w:color w:val="000000"/>
          <w:szCs w:val="24"/>
          <w:lang w:eastAsia="hr-HR"/>
        </w:rPr>
        <w:t>.05.2026.</w:t>
      </w:r>
    </w:p>
    <w:p w14:paraId="54ECC75A" w14:textId="77777777" w:rsidR="000017F5" w:rsidRPr="001435E1" w:rsidRDefault="000017F5" w:rsidP="000017F5">
      <w:pPr>
        <w:rPr>
          <w:rFonts w:eastAsia="Times New Roman"/>
          <w:color w:val="000000"/>
          <w:szCs w:val="24"/>
          <w:lang w:eastAsia="hr-HR"/>
        </w:rPr>
      </w:pPr>
    </w:p>
    <w:p w14:paraId="12977C95" w14:textId="7E8F278A" w:rsidR="00BC406C" w:rsidRPr="001435E1" w:rsidRDefault="00BC406C" w:rsidP="000017F5">
      <w:pPr>
        <w:ind w:firstLine="5387"/>
        <w:rPr>
          <w:b/>
          <w:bCs/>
          <w:szCs w:val="24"/>
        </w:rPr>
      </w:pPr>
      <w:r w:rsidRPr="001435E1">
        <w:rPr>
          <w:b/>
          <w:bCs/>
          <w:szCs w:val="24"/>
        </w:rPr>
        <w:t xml:space="preserve">OPĆINSKO VIJEĆE  </w:t>
      </w:r>
    </w:p>
    <w:p w14:paraId="58932463" w14:textId="53694982" w:rsidR="00BC406C" w:rsidRPr="001435E1" w:rsidRDefault="00BC406C" w:rsidP="000017F5">
      <w:pPr>
        <w:ind w:firstLine="5387"/>
        <w:rPr>
          <w:b/>
          <w:bCs/>
          <w:szCs w:val="24"/>
        </w:rPr>
      </w:pPr>
      <w:r w:rsidRPr="001435E1">
        <w:rPr>
          <w:b/>
          <w:bCs/>
          <w:szCs w:val="24"/>
        </w:rPr>
        <w:t>OPĆINE KRAPINSKE TOPLICE</w:t>
      </w:r>
    </w:p>
    <w:p w14:paraId="1FE7D604" w14:textId="21726F72" w:rsidR="00BC406C" w:rsidRPr="001435E1" w:rsidRDefault="00BC406C" w:rsidP="000017F5">
      <w:pPr>
        <w:ind w:firstLine="5387"/>
        <w:rPr>
          <w:b/>
          <w:bCs/>
          <w:szCs w:val="24"/>
        </w:rPr>
      </w:pPr>
      <w:r w:rsidRPr="001435E1">
        <w:rPr>
          <w:b/>
          <w:bCs/>
          <w:szCs w:val="24"/>
        </w:rPr>
        <w:t>n/p predsjednika</w:t>
      </w:r>
    </w:p>
    <w:p w14:paraId="41B5C1A0" w14:textId="77777777" w:rsidR="00BC406C" w:rsidRPr="001435E1" w:rsidRDefault="00BC406C" w:rsidP="00BC406C">
      <w:pPr>
        <w:jc w:val="center"/>
        <w:rPr>
          <w:b/>
          <w:bCs/>
          <w:szCs w:val="24"/>
        </w:rPr>
      </w:pPr>
    </w:p>
    <w:p w14:paraId="1C0A0816" w14:textId="77777777" w:rsidR="00BC406C" w:rsidRPr="001435E1" w:rsidRDefault="00BC406C" w:rsidP="00BC406C">
      <w:pPr>
        <w:rPr>
          <w:b/>
          <w:color w:val="FF0000"/>
          <w:szCs w:val="24"/>
        </w:rPr>
      </w:pPr>
    </w:p>
    <w:p w14:paraId="62430C39" w14:textId="77777777" w:rsidR="000017F5" w:rsidRPr="001435E1" w:rsidRDefault="000017F5" w:rsidP="000017F5">
      <w:pPr>
        <w:rPr>
          <w:rFonts w:eastAsia="Arial"/>
          <w:b/>
          <w:bCs/>
          <w:szCs w:val="24"/>
        </w:rPr>
      </w:pPr>
    </w:p>
    <w:p w14:paraId="32E71FE6" w14:textId="10436549" w:rsidR="00BC406C" w:rsidRPr="001435E1" w:rsidRDefault="000017F5" w:rsidP="000017F5">
      <w:pPr>
        <w:ind w:left="1410" w:hanging="1410"/>
        <w:jc w:val="both"/>
        <w:rPr>
          <w:szCs w:val="24"/>
        </w:rPr>
      </w:pPr>
      <w:r w:rsidRPr="001435E1">
        <w:rPr>
          <w:rFonts w:eastAsia="Arial"/>
          <w:b/>
          <w:bCs/>
          <w:szCs w:val="24"/>
        </w:rPr>
        <w:t xml:space="preserve">PREDMET: </w:t>
      </w:r>
      <w:r w:rsidRPr="001435E1">
        <w:rPr>
          <w:rFonts w:eastAsia="Arial"/>
          <w:b/>
          <w:bCs/>
          <w:szCs w:val="24"/>
        </w:rPr>
        <w:tab/>
      </w:r>
      <w:r w:rsidRPr="001435E1">
        <w:rPr>
          <w:rFonts w:eastAsia="Arial"/>
          <w:szCs w:val="24"/>
        </w:rPr>
        <w:t xml:space="preserve">Razmatranje prijedloga i usvajanje Odluke o godišnjem izvještaju o izvršenju </w:t>
      </w:r>
      <w:r w:rsidRPr="001435E1">
        <w:rPr>
          <w:szCs w:val="24"/>
        </w:rPr>
        <w:t>Proračuna Općine Krapinske Toplice za 2025. godinu</w:t>
      </w:r>
    </w:p>
    <w:p w14:paraId="67BF7A8B" w14:textId="77777777" w:rsidR="00BC406C" w:rsidRPr="001435E1" w:rsidRDefault="00BC406C" w:rsidP="00F7336B">
      <w:pPr>
        <w:rPr>
          <w:szCs w:val="24"/>
        </w:rPr>
      </w:pPr>
    </w:p>
    <w:p w14:paraId="29529F44" w14:textId="6AE6D2AA" w:rsidR="00F7336B" w:rsidRPr="001435E1" w:rsidRDefault="00F7336B" w:rsidP="00F7336B">
      <w:pPr>
        <w:spacing w:before="100" w:beforeAutospacing="1" w:after="100" w:afterAutospacing="1"/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 xml:space="preserve">PRAVNI TEMELJ: </w:t>
      </w:r>
      <w:r w:rsidRPr="001435E1">
        <w:rPr>
          <w:szCs w:val="24"/>
        </w:rPr>
        <w:t>Zakon o proračunu („Narodne novine“, broj 144/21) i Pravilnik o polugodišnjem i godišnjem izvještaju o izvršenju proračuna („Narodne novine“, broj 85/23)</w:t>
      </w:r>
      <w:r w:rsidRPr="001435E1">
        <w:rPr>
          <w:rFonts w:eastAsia="Times New Roman"/>
          <w:szCs w:val="24"/>
          <w:lang w:eastAsia="hr-HR"/>
        </w:rPr>
        <w:t xml:space="preserve"> i članak 32. Statuta Općine Krapinske Toplice („Službeni glasnik Krapinsko-zagorske županije“, broj 16A/25)</w:t>
      </w:r>
    </w:p>
    <w:p w14:paraId="61B4B3FD" w14:textId="77777777" w:rsidR="00F7336B" w:rsidRPr="001435E1" w:rsidRDefault="00F7336B" w:rsidP="00F7336B">
      <w:pPr>
        <w:spacing w:before="100" w:beforeAutospacing="1" w:after="100" w:afterAutospacing="1"/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NADLEŽNOST ZA DONOŠENJE: Općinsko vijeće</w:t>
      </w:r>
    </w:p>
    <w:p w14:paraId="6C69EB44" w14:textId="77777777" w:rsidR="00F7336B" w:rsidRPr="001435E1" w:rsidRDefault="00F7336B" w:rsidP="00F7336B">
      <w:pPr>
        <w:spacing w:before="100" w:beforeAutospacing="1" w:after="100" w:afterAutospacing="1"/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PREDLAGATELJ: Općinska načelnica, sukladno članku 40. Poslovnika o radu Općinskog vijeća Općine Krapinske Toplice („Službeni glasnik Krapinsko-zagorske županije“, broj 16/09, 8A/13, 6/14, 4/18, 13/20, 16/20 – pročišćeni tekst, 26/20 i 19b/21)</w:t>
      </w:r>
    </w:p>
    <w:p w14:paraId="3673814C" w14:textId="77777777" w:rsidR="00F7336B" w:rsidRPr="001435E1" w:rsidRDefault="00F7336B" w:rsidP="00F7336B">
      <w:pPr>
        <w:spacing w:before="100" w:beforeAutospacing="1" w:after="100" w:afterAutospacing="1"/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IZVJESTITELJ: Gordana Jureković, općinska načelnica, Ivana Deak, viša stručna suradnica za financije</w:t>
      </w:r>
    </w:p>
    <w:p w14:paraId="37CD04FB" w14:textId="1BF50F69" w:rsidR="00BC406C" w:rsidRPr="001435E1" w:rsidRDefault="00F7336B" w:rsidP="00F7336B">
      <w:pPr>
        <w:jc w:val="both"/>
        <w:rPr>
          <w:szCs w:val="24"/>
        </w:rPr>
      </w:pPr>
      <w:r w:rsidRPr="001435E1">
        <w:rPr>
          <w:rFonts w:eastAsia="Times New Roman"/>
          <w:szCs w:val="24"/>
          <w:lang w:eastAsia="hr-HR"/>
        </w:rPr>
        <w:t xml:space="preserve">OBRAZLOŽENJE: </w:t>
      </w:r>
      <w:r w:rsidR="00BC406C" w:rsidRPr="001435E1">
        <w:rPr>
          <w:szCs w:val="24"/>
        </w:rPr>
        <w:t>Člankom 79. Zakona o proračunu („Narodne novine“</w:t>
      </w:r>
      <w:r w:rsidR="000017F5" w:rsidRPr="001435E1">
        <w:rPr>
          <w:szCs w:val="24"/>
        </w:rPr>
        <w:t xml:space="preserve">, </w:t>
      </w:r>
      <w:r w:rsidR="00BC406C" w:rsidRPr="001435E1">
        <w:rPr>
          <w:szCs w:val="24"/>
        </w:rPr>
        <w:t>broj 144/21) i člankom 4. Pravilnika o polugodišnjem i godišnjem izvještaju o izvršenju proračuna (</w:t>
      </w:r>
      <w:r w:rsidR="000017F5" w:rsidRPr="001435E1">
        <w:rPr>
          <w:szCs w:val="24"/>
        </w:rPr>
        <w:t>„</w:t>
      </w:r>
      <w:r w:rsidR="00BC406C" w:rsidRPr="001435E1">
        <w:rPr>
          <w:szCs w:val="24"/>
        </w:rPr>
        <w:t xml:space="preserve">Narodne novine“, broj 85/23) propisan je sadržaj godišnjeg izvještaja o izvršenju proračuna jedinica lokalne samouprave. </w:t>
      </w:r>
    </w:p>
    <w:p w14:paraId="4F44ECE5" w14:textId="77777777" w:rsidR="00BC406C" w:rsidRPr="001435E1" w:rsidRDefault="00BC406C" w:rsidP="00F7336B">
      <w:pPr>
        <w:rPr>
          <w:szCs w:val="24"/>
        </w:rPr>
      </w:pPr>
      <w:r w:rsidRPr="001435E1">
        <w:rPr>
          <w:szCs w:val="24"/>
        </w:rPr>
        <w:t>Godišnji izvještaj o izvršenju proračuna sadrži:</w:t>
      </w:r>
    </w:p>
    <w:p w14:paraId="2240F39F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Opći dio proračuna koji čini Račun prihoda i rashoda iskazanih prema izvorima financiranja i ekonomskoj klasifikaciji te rashoda iskazanih prema funkcijskoj klasifikaciji, i Račun financiranja prema izvorima financiranja i ekonomskoj klasifikaciji.</w:t>
      </w:r>
    </w:p>
    <w:p w14:paraId="30CED9DA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 xml:space="preserve">Posebni dio proračuna po organizacijskoj klasifikaciji, izvorima financiranja i ekonomskoj klasifikaciji, raspoređenih u programe koji se sastoje od aktivnosti i </w:t>
      </w:r>
      <w:r w:rsidRPr="001435E1">
        <w:rPr>
          <w:szCs w:val="24"/>
        </w:rPr>
        <w:lastRenderedPageBreak/>
        <w:t>projekata;</w:t>
      </w:r>
    </w:p>
    <w:p w14:paraId="0A8857CA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Izvještaj o zaduživanju na domaćem i stranom tržištu novca i kapitala</w:t>
      </w:r>
    </w:p>
    <w:p w14:paraId="2B9CA0D3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Izvještaj o korištenju proračunske zalihe</w:t>
      </w:r>
    </w:p>
    <w:p w14:paraId="32D27A39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Izvještaj o danim zajmovima i potraživanjima po danim zajmovima</w:t>
      </w:r>
    </w:p>
    <w:p w14:paraId="4FA79FB1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Izvještaj o stanju potraživanja i dospjelih obveza te o stanju potencijalnih obveza po osnovi sudskih sporova</w:t>
      </w:r>
    </w:p>
    <w:p w14:paraId="6CA631F9" w14:textId="77777777" w:rsidR="00BC406C" w:rsidRPr="001435E1" w:rsidRDefault="00BC406C" w:rsidP="000017F5">
      <w:pPr>
        <w:widowControl w:val="0"/>
        <w:numPr>
          <w:ilvl w:val="0"/>
          <w:numId w:val="1"/>
        </w:numPr>
        <w:tabs>
          <w:tab w:val="left" w:pos="0"/>
        </w:tabs>
        <w:suppressAutoHyphens/>
        <w:autoSpaceDE w:val="0"/>
        <w:jc w:val="both"/>
        <w:rPr>
          <w:szCs w:val="24"/>
        </w:rPr>
      </w:pPr>
      <w:r w:rsidRPr="001435E1">
        <w:rPr>
          <w:szCs w:val="24"/>
        </w:rPr>
        <w:t>Obrazloženje ostvarenja prihoda i primitaka, rashoda i izdataka</w:t>
      </w:r>
    </w:p>
    <w:p w14:paraId="3ED81425" w14:textId="77777777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>U skladu s navedenom zakonskom obvezom, sastavljen je Godišnji izvještaj o izvršenju Proračuna Općine Krapinske Toplice za 2025. godinu.</w:t>
      </w:r>
    </w:p>
    <w:p w14:paraId="45C95D82" w14:textId="77777777" w:rsidR="00F7336B" w:rsidRPr="001435E1" w:rsidRDefault="00F7336B" w:rsidP="00F7336B">
      <w:pPr>
        <w:jc w:val="both"/>
        <w:rPr>
          <w:szCs w:val="24"/>
        </w:rPr>
      </w:pPr>
    </w:p>
    <w:p w14:paraId="74921373" w14:textId="5DA6098D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>Obrazloženje godišnjeg izvještaja o izvršenju proračuna za razdoblje od 01. siječnja do 31. prosinca 2025. godine Općine Krapinske Toplice sastoji se od obrazloženja Općeg dijela izvještaja o izvršenju proračuna i obrazloženja Posebnog dijela izvještaja o izvršenju proračuna.</w:t>
      </w:r>
    </w:p>
    <w:p w14:paraId="23010E27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7A88C3CF" w14:textId="342CC2FD" w:rsidR="00BC406C" w:rsidRPr="001435E1" w:rsidRDefault="00BC406C" w:rsidP="00F7336B">
      <w:pPr>
        <w:rPr>
          <w:b/>
          <w:bCs/>
          <w:szCs w:val="24"/>
        </w:rPr>
      </w:pPr>
      <w:r w:rsidRPr="001435E1">
        <w:rPr>
          <w:b/>
          <w:bCs/>
          <w:szCs w:val="24"/>
        </w:rPr>
        <w:t>OBRAZLOŽENJE OPĆEG DIJELA IZVJEŠTAJA O IZVRŠENJU PRORAČUNA</w:t>
      </w:r>
    </w:p>
    <w:p w14:paraId="1B2C3878" w14:textId="77777777" w:rsidR="00F7336B" w:rsidRPr="001435E1" w:rsidRDefault="00F7336B" w:rsidP="00F7336B">
      <w:pPr>
        <w:jc w:val="both"/>
        <w:rPr>
          <w:szCs w:val="24"/>
        </w:rPr>
      </w:pPr>
    </w:p>
    <w:p w14:paraId="2AF9E6B8" w14:textId="591524A8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Na kraju izvještajnog razdoblja bilježi se manjak prihoda i primitaka nad rashodima i izdacima u 2025. godini koji iznosi 676.692,10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Iz 2024. godine je preneseni manjak u iznosu od 443.023,44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je utvrđen manjak u izvještajnom razdoblju od 1.119.715,54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koji će se pokriti u sljedećem razdoblju.</w:t>
      </w:r>
    </w:p>
    <w:p w14:paraId="0199D259" w14:textId="77777777" w:rsidR="000017F5" w:rsidRPr="001435E1" w:rsidRDefault="000017F5" w:rsidP="00BC406C">
      <w:pPr>
        <w:ind w:firstLine="708"/>
        <w:jc w:val="both"/>
        <w:rPr>
          <w:szCs w:val="24"/>
        </w:rPr>
      </w:pPr>
    </w:p>
    <w:p w14:paraId="4D18FD52" w14:textId="77777777" w:rsidR="00BC406C" w:rsidRPr="001435E1" w:rsidRDefault="00BC406C" w:rsidP="00BC406C">
      <w:pPr>
        <w:jc w:val="both"/>
        <w:rPr>
          <w:szCs w:val="24"/>
        </w:rPr>
      </w:pPr>
      <w:bookmarkStart w:id="1" w:name="_Hlk1123873"/>
      <w:r w:rsidRPr="001435E1">
        <w:rPr>
          <w:b/>
          <w:szCs w:val="24"/>
        </w:rPr>
        <w:t>PRIHODE POSLOVANJA U 2025. GODINI ČINE</w:t>
      </w:r>
      <w:r w:rsidRPr="001435E1">
        <w:rPr>
          <w:szCs w:val="24"/>
        </w:rPr>
        <w:t>:</w:t>
      </w:r>
      <w:bookmarkEnd w:id="1"/>
    </w:p>
    <w:tbl>
      <w:tblPr>
        <w:tblW w:w="515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373"/>
        <w:gridCol w:w="1845"/>
        <w:gridCol w:w="1129"/>
      </w:tblGrid>
      <w:tr w:rsidR="000017F5" w:rsidRPr="001435E1" w14:paraId="32B25CAC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045B0B37" w14:textId="2B5B177A" w:rsidR="000017F5" w:rsidRPr="001435E1" w:rsidRDefault="000017F5" w:rsidP="001122C7">
            <w:pPr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Vrsta prihoda</w:t>
            </w:r>
          </w:p>
        </w:tc>
        <w:tc>
          <w:tcPr>
            <w:tcW w:w="987" w:type="pct"/>
            <w:noWrap/>
            <w:vAlign w:val="center"/>
          </w:tcPr>
          <w:p w14:paraId="33C9E8F7" w14:textId="0DC9D8AF" w:rsidR="000017F5" w:rsidRPr="001435E1" w:rsidRDefault="000017F5" w:rsidP="001122C7">
            <w:pPr>
              <w:jc w:val="right"/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Iznos u eurima</w:t>
            </w:r>
          </w:p>
        </w:tc>
        <w:tc>
          <w:tcPr>
            <w:tcW w:w="604" w:type="pct"/>
            <w:noWrap/>
            <w:vAlign w:val="center"/>
          </w:tcPr>
          <w:p w14:paraId="63FB171B" w14:textId="25EF5414" w:rsidR="000017F5" w:rsidRPr="001435E1" w:rsidRDefault="000017F5" w:rsidP="001122C7">
            <w:pPr>
              <w:jc w:val="right"/>
              <w:textAlignment w:val="center"/>
              <w:rPr>
                <w:b/>
                <w:bCs/>
                <w:szCs w:val="24"/>
                <w:lang w:eastAsia="zh-CN" w:bidi="ar"/>
              </w:rPr>
            </w:pPr>
            <w:r w:rsidRPr="001435E1">
              <w:rPr>
                <w:b/>
                <w:bCs/>
                <w:szCs w:val="24"/>
                <w:lang w:eastAsia="zh-CN" w:bidi="ar"/>
              </w:rPr>
              <w:t>Postotak</w:t>
            </w:r>
          </w:p>
        </w:tc>
      </w:tr>
      <w:tr w:rsidR="00BC406C" w:rsidRPr="001435E1" w14:paraId="7E5E8D07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6ABE26BB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Prihodi od poreza</w:t>
            </w:r>
          </w:p>
        </w:tc>
        <w:tc>
          <w:tcPr>
            <w:tcW w:w="987" w:type="pct"/>
            <w:noWrap/>
            <w:vAlign w:val="center"/>
          </w:tcPr>
          <w:p w14:paraId="1BE0BD0F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3.761.453,24</w:t>
            </w:r>
          </w:p>
        </w:tc>
        <w:tc>
          <w:tcPr>
            <w:tcW w:w="604" w:type="pct"/>
            <w:noWrap/>
            <w:vAlign w:val="center"/>
          </w:tcPr>
          <w:p w14:paraId="17C1BC39" w14:textId="0F8918DF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74,80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165C0018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0C5539D6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Pomoći iz inozemstva i od subjekata unutar općeg proračuna</w:t>
            </w:r>
          </w:p>
        </w:tc>
        <w:tc>
          <w:tcPr>
            <w:tcW w:w="987" w:type="pct"/>
            <w:noWrap/>
          </w:tcPr>
          <w:p w14:paraId="3C98769F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796.201,97</w:t>
            </w:r>
          </w:p>
        </w:tc>
        <w:tc>
          <w:tcPr>
            <w:tcW w:w="604" w:type="pct"/>
            <w:noWrap/>
            <w:vAlign w:val="center"/>
          </w:tcPr>
          <w:p w14:paraId="400B8E39" w14:textId="198BED45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15,83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0538704E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627C54F6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Prihodi od imovine</w:t>
            </w:r>
          </w:p>
        </w:tc>
        <w:tc>
          <w:tcPr>
            <w:tcW w:w="987" w:type="pct"/>
            <w:noWrap/>
            <w:vAlign w:val="center"/>
          </w:tcPr>
          <w:p w14:paraId="56D43CB4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18.015,85</w:t>
            </w:r>
          </w:p>
        </w:tc>
        <w:tc>
          <w:tcPr>
            <w:tcW w:w="604" w:type="pct"/>
            <w:noWrap/>
            <w:vAlign w:val="center"/>
          </w:tcPr>
          <w:p w14:paraId="2729AF57" w14:textId="281A23C5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0,36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32CFE383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61390FB0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Prihodi od upravnih i administrativnih pristojbi, po posebnim propisima i naknada</w:t>
            </w:r>
          </w:p>
        </w:tc>
        <w:tc>
          <w:tcPr>
            <w:tcW w:w="987" w:type="pct"/>
            <w:noWrap/>
          </w:tcPr>
          <w:p w14:paraId="651BCB58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450.922,01</w:t>
            </w:r>
          </w:p>
        </w:tc>
        <w:tc>
          <w:tcPr>
            <w:tcW w:w="604" w:type="pct"/>
            <w:noWrap/>
            <w:vAlign w:val="center"/>
          </w:tcPr>
          <w:p w14:paraId="7654EB32" w14:textId="0DDAFCC9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8,97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0BAA26E8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6C57E64A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Prihodi od prodaje proizvoda i robe te pruženih usluga i prihodi od donacija</w:t>
            </w:r>
          </w:p>
        </w:tc>
        <w:tc>
          <w:tcPr>
            <w:tcW w:w="987" w:type="pct"/>
            <w:noWrap/>
          </w:tcPr>
          <w:p w14:paraId="032A8C96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282,30</w:t>
            </w:r>
          </w:p>
        </w:tc>
        <w:tc>
          <w:tcPr>
            <w:tcW w:w="604" w:type="pct"/>
            <w:noWrap/>
            <w:vAlign w:val="center"/>
          </w:tcPr>
          <w:p w14:paraId="126018F5" w14:textId="252051AF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0,01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2A8FC323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19A349BB" w14:textId="77777777" w:rsidR="00BC406C" w:rsidRPr="001435E1" w:rsidRDefault="00BC406C" w:rsidP="001122C7">
            <w:pPr>
              <w:rPr>
                <w:szCs w:val="24"/>
              </w:rPr>
            </w:pPr>
            <w:r w:rsidRPr="001435E1">
              <w:rPr>
                <w:szCs w:val="24"/>
              </w:rPr>
              <w:t>Kazne, upravne mjere i ostali prihodi</w:t>
            </w:r>
          </w:p>
        </w:tc>
        <w:tc>
          <w:tcPr>
            <w:tcW w:w="987" w:type="pct"/>
            <w:noWrap/>
            <w:vAlign w:val="center"/>
          </w:tcPr>
          <w:p w14:paraId="28504E4C" w14:textId="77777777" w:rsidR="00BC406C" w:rsidRPr="001435E1" w:rsidRDefault="00BC406C" w:rsidP="001122C7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1.982,07</w:t>
            </w:r>
          </w:p>
        </w:tc>
        <w:tc>
          <w:tcPr>
            <w:tcW w:w="604" w:type="pct"/>
            <w:noWrap/>
            <w:vAlign w:val="center"/>
          </w:tcPr>
          <w:p w14:paraId="2BD87867" w14:textId="63EA75EC" w:rsidR="00BC406C" w:rsidRPr="001435E1" w:rsidRDefault="00BC406C" w:rsidP="001122C7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0,04</w:t>
            </w:r>
            <w:r w:rsidR="000017F5" w:rsidRPr="001435E1">
              <w:rPr>
                <w:szCs w:val="24"/>
                <w:lang w:eastAsia="zh-CN" w:bidi="ar"/>
              </w:rPr>
              <w:t xml:space="preserve"> </w:t>
            </w:r>
            <w:r w:rsidRPr="001435E1">
              <w:rPr>
                <w:szCs w:val="24"/>
                <w:lang w:eastAsia="zh-CN" w:bidi="ar"/>
              </w:rPr>
              <w:t>%</w:t>
            </w:r>
          </w:p>
        </w:tc>
      </w:tr>
      <w:tr w:rsidR="00BC406C" w:rsidRPr="001435E1" w14:paraId="541A913E" w14:textId="77777777" w:rsidTr="000017F5">
        <w:trPr>
          <w:trHeight w:val="20"/>
          <w:jc w:val="center"/>
        </w:trPr>
        <w:tc>
          <w:tcPr>
            <w:tcW w:w="3409" w:type="pct"/>
            <w:noWrap/>
            <w:vAlign w:val="center"/>
          </w:tcPr>
          <w:p w14:paraId="683DE6A3" w14:textId="77777777" w:rsidR="00BC406C" w:rsidRPr="001435E1" w:rsidRDefault="00BC406C" w:rsidP="001122C7">
            <w:pPr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UKUPNO</w:t>
            </w:r>
          </w:p>
        </w:tc>
        <w:tc>
          <w:tcPr>
            <w:tcW w:w="987" w:type="pct"/>
            <w:noWrap/>
            <w:vAlign w:val="center"/>
          </w:tcPr>
          <w:p w14:paraId="29C5DBA6" w14:textId="77777777" w:rsidR="00BC406C" w:rsidRPr="001435E1" w:rsidRDefault="00BC406C" w:rsidP="001122C7">
            <w:pPr>
              <w:jc w:val="right"/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5.028.857,44</w:t>
            </w:r>
          </w:p>
        </w:tc>
        <w:tc>
          <w:tcPr>
            <w:tcW w:w="604" w:type="pct"/>
            <w:noWrap/>
            <w:vAlign w:val="center"/>
          </w:tcPr>
          <w:p w14:paraId="26884061" w14:textId="77777777" w:rsidR="00BC406C" w:rsidRPr="001435E1" w:rsidRDefault="00BC406C" w:rsidP="001122C7">
            <w:pPr>
              <w:rPr>
                <w:color w:val="FF0000"/>
                <w:szCs w:val="24"/>
              </w:rPr>
            </w:pPr>
          </w:p>
        </w:tc>
      </w:tr>
    </w:tbl>
    <w:p w14:paraId="4952ABC6" w14:textId="77777777" w:rsidR="00F7336B" w:rsidRPr="001435E1" w:rsidRDefault="00F7336B" w:rsidP="00F7336B">
      <w:pPr>
        <w:jc w:val="both"/>
        <w:rPr>
          <w:szCs w:val="24"/>
        </w:rPr>
      </w:pPr>
    </w:p>
    <w:p w14:paraId="1399E99A" w14:textId="0A7F1B9A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Prihodi poslovanja ostvareni su u ukupnom iznosu od </w:t>
      </w:r>
      <w:r w:rsidRPr="001435E1">
        <w:rPr>
          <w:b/>
          <w:bCs/>
          <w:szCs w:val="24"/>
        </w:rPr>
        <w:t xml:space="preserve">5.028.857,44 </w:t>
      </w:r>
      <w:r w:rsidR="000017F5" w:rsidRPr="001435E1">
        <w:rPr>
          <w:b/>
          <w:bCs/>
          <w:szCs w:val="24"/>
        </w:rPr>
        <w:t>eura</w:t>
      </w:r>
      <w:r w:rsidRPr="001435E1">
        <w:rPr>
          <w:szCs w:val="24"/>
        </w:rPr>
        <w:t xml:space="preserve"> što je za 60,24 % manje u odnosu na planirano.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Prihodi od poreza ostvareni su u iznosu 3.761.453,24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29,44 % manje od planiranog. Pomoći iz inozemstva i od subjekata unutar općeg proračuna iznose 796.201,97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87,27 % manje od planiranog. Prihodi od imovine ostvareni su u iznosu 18.015,85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81,23 % manje od planiranog.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Prihodi od upravnih i administrativnih </w:t>
      </w:r>
      <w:proofErr w:type="spellStart"/>
      <w:r w:rsidRPr="001435E1">
        <w:rPr>
          <w:szCs w:val="24"/>
        </w:rPr>
        <w:t>pristrojbi</w:t>
      </w:r>
      <w:proofErr w:type="spellEnd"/>
      <w:r w:rsidRPr="001435E1">
        <w:rPr>
          <w:szCs w:val="24"/>
        </w:rPr>
        <w:t xml:space="preserve">, </w:t>
      </w:r>
      <w:proofErr w:type="spellStart"/>
      <w:r w:rsidRPr="001435E1">
        <w:rPr>
          <w:szCs w:val="24"/>
        </w:rPr>
        <w:t>pristrojbi</w:t>
      </w:r>
      <w:proofErr w:type="spellEnd"/>
      <w:r w:rsidRPr="001435E1">
        <w:rPr>
          <w:szCs w:val="24"/>
        </w:rPr>
        <w:t xml:space="preserve"> po posebnim propisima i naknada ostvareni su u iznosu 450.922,01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što je 33,48 % više od planiranog. Prihodi od prodaje proizvoda i robe te pruženih usluga, prihodi od donacija te povrati ostvareni su u iznosu 282,30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što je 80,53 % manje od planiranog.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Kazne, upravne mjere i ostali prihodi ostvareni su u iznosu 1.982,07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86,52 % manje od planiranog.    </w:t>
      </w:r>
    </w:p>
    <w:p w14:paraId="12A37ABC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664D6AC9" w14:textId="35788082" w:rsidR="00BC406C" w:rsidRPr="001435E1" w:rsidRDefault="00F7336B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P</w:t>
      </w:r>
      <w:r w:rsidR="00BC406C" w:rsidRPr="001435E1">
        <w:rPr>
          <w:b/>
          <w:i/>
          <w:iCs/>
          <w:szCs w:val="24"/>
        </w:rPr>
        <w:t>rihodi od poreza</w:t>
      </w:r>
    </w:p>
    <w:p w14:paraId="0147D581" w14:textId="77777777" w:rsidR="00F7336B" w:rsidRPr="001435E1" w:rsidRDefault="00F7336B" w:rsidP="00F7336B">
      <w:pPr>
        <w:pStyle w:val="Tijeloteksta"/>
      </w:pPr>
    </w:p>
    <w:p w14:paraId="6DDFF658" w14:textId="7BB24682" w:rsidR="00BC406C" w:rsidRPr="001435E1" w:rsidRDefault="00BC406C" w:rsidP="00F7336B">
      <w:pPr>
        <w:pStyle w:val="Tijeloteksta"/>
        <w:rPr>
          <w:color w:val="FF0000"/>
        </w:rPr>
      </w:pPr>
      <w:r w:rsidRPr="001435E1">
        <w:t xml:space="preserve">Prihodi od poreza jedan su od značajnih prihoda poslovanja i obuhvaćaju porez na dohodak, poreze na imovinu i poreze na robu i usluge. U izvještajnom razdoblju ostvareni su u iznosu od 3.761.453,24 </w:t>
      </w:r>
      <w:r w:rsidR="000017F5" w:rsidRPr="001435E1">
        <w:t>eura</w:t>
      </w:r>
      <w:r w:rsidRPr="001435E1">
        <w:t xml:space="preserve"> što je 29,44 % manje u odnosu na planirano.</w:t>
      </w:r>
      <w:r w:rsidRPr="001435E1">
        <w:rPr>
          <w:color w:val="FF0000"/>
        </w:rPr>
        <w:t xml:space="preserve">  </w:t>
      </w:r>
    </w:p>
    <w:p w14:paraId="7E77BC5D" w14:textId="10C8458D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lastRenderedPageBreak/>
        <w:t xml:space="preserve">611 – Porez na dohodak </w:t>
      </w:r>
      <w:r w:rsidRPr="001435E1">
        <w:rPr>
          <w:szCs w:val="24"/>
        </w:rPr>
        <w:t xml:space="preserve">ostvaren je za 13,11 % više u odnosu na isto razdoblje prethodne godine te iznosi 3.516.089,28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odnosi se na porez na dohodak od nesamostalnog rada, samostalnih djelatnosti, imovine i imovinskih prava te kapitala.  </w:t>
      </w:r>
    </w:p>
    <w:p w14:paraId="52824A73" w14:textId="609F103C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  <w:r w:rsidRPr="001435E1">
        <w:rPr>
          <w:i/>
          <w:iCs/>
          <w:szCs w:val="24"/>
        </w:rPr>
        <w:t>613 – Porezi na imovinu</w:t>
      </w:r>
      <w:r w:rsidRPr="001435E1">
        <w:rPr>
          <w:szCs w:val="24"/>
        </w:rPr>
        <w:t xml:space="preserve"> ostvareni su za 31,27 % manje u odnosu na prethodnu godinu te iznose 210.334,35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Sastoje se od stalnih poreza na nepokretnu imovinu ostvarenih u iznosu od 41.281,67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(30,73 % manje u odnosu na prošlu godinu) te povremenih poreza na imovinu ostvarenih u iznosu od 169.052,68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(31,40 % manje nego prošle godine). Stalni porezi na imovinu obuhvaćaju Porez na kuće za odmor i  Porez na korištenje javnih površina dok povremeni porezi obuhvaćaju Porez na promet nekretnina.</w:t>
      </w:r>
    </w:p>
    <w:p w14:paraId="6B6EF19F" w14:textId="706653B2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 xml:space="preserve">614 - Porezi na robu i usluge </w:t>
      </w:r>
      <w:r w:rsidRPr="001435E1">
        <w:rPr>
          <w:szCs w:val="24"/>
        </w:rPr>
        <w:t xml:space="preserve">ostvareni su 9,62 % više nego prošle godine te iznose 35.029,61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. Navedeni porez odnosi se na Porez na potrošnju alkoholnih i bezalkoholnih pića.</w:t>
      </w:r>
    </w:p>
    <w:p w14:paraId="1A38446B" w14:textId="77777777" w:rsidR="00BC406C" w:rsidRPr="001435E1" w:rsidRDefault="00BC406C" w:rsidP="00BC406C">
      <w:pPr>
        <w:ind w:firstLine="708"/>
        <w:jc w:val="both"/>
        <w:rPr>
          <w:b/>
          <w:i/>
          <w:iCs/>
          <w:szCs w:val="24"/>
        </w:rPr>
      </w:pPr>
    </w:p>
    <w:p w14:paraId="18323135" w14:textId="77777777" w:rsidR="00BC406C" w:rsidRPr="001435E1" w:rsidRDefault="00BC406C" w:rsidP="00BC406C">
      <w:pPr>
        <w:jc w:val="both"/>
        <w:rPr>
          <w:i/>
          <w:iCs/>
          <w:szCs w:val="24"/>
        </w:rPr>
      </w:pPr>
      <w:r w:rsidRPr="001435E1">
        <w:rPr>
          <w:b/>
          <w:i/>
          <w:iCs/>
          <w:szCs w:val="24"/>
        </w:rPr>
        <w:t xml:space="preserve"> Pomoći iz inozemstva i od subjekata unutar općeg proračuna </w:t>
      </w:r>
    </w:p>
    <w:p w14:paraId="288BE333" w14:textId="77777777" w:rsidR="00F7336B" w:rsidRPr="001435E1" w:rsidRDefault="00F7336B" w:rsidP="00F7336B">
      <w:pPr>
        <w:jc w:val="both"/>
        <w:rPr>
          <w:szCs w:val="24"/>
        </w:rPr>
      </w:pPr>
    </w:p>
    <w:p w14:paraId="22FCB1E9" w14:textId="3BD6551C" w:rsidR="00BC406C" w:rsidRPr="001435E1" w:rsidRDefault="00BC406C" w:rsidP="00F7336B">
      <w:pPr>
        <w:jc w:val="both"/>
        <w:rPr>
          <w:color w:val="FF0000"/>
          <w:szCs w:val="24"/>
        </w:rPr>
      </w:pPr>
      <w:r w:rsidRPr="001435E1">
        <w:rPr>
          <w:szCs w:val="24"/>
        </w:rPr>
        <w:t xml:space="preserve">U izvještajnom razdoblju ostvarene su pomoći u ukupnom iznosu od 796.201,97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87,27 % manje od plana.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Najznačajnije smanjenje u odnosu na prethodnu godinu bilježe pomoći proračunu i izvanproračunskim korisnicima iz drugih proračuna koji su ostvareni u iznosu od 112.906,99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35,07 % manje od prethodnog razdoblja. Najznačajnije povećanje u odnosu na prethodnu godinu bilježe Pomoći od izvanproračunskih korisnika koje su ostvarene u iznosu 110.836,92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192,40 % više od prethodne godine.</w:t>
      </w:r>
      <w:r w:rsidRPr="001435E1">
        <w:rPr>
          <w:color w:val="FF0000"/>
          <w:szCs w:val="24"/>
        </w:rPr>
        <w:t xml:space="preserve"> </w:t>
      </w:r>
    </w:p>
    <w:p w14:paraId="27F35BBD" w14:textId="0B1F13CB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633- Pomoći proračunu i izvanproračunskim korisnicima iz drugih proračuna</w:t>
      </w:r>
      <w:r w:rsidRPr="001435E1">
        <w:rPr>
          <w:szCs w:val="24"/>
        </w:rPr>
        <w:t xml:space="preserve"> – ostvarene su u iznosu (112.906,99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a obuhvaćaju pomoći za funkcionalno spajanje (2.570,02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radnih materijala učenicima (10.333,97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), sufinanciranje komunalnog prijevoza putnika (35.000,00</w:t>
      </w:r>
      <w:r w:rsidR="000017F5" w:rsidRPr="001435E1">
        <w:rPr>
          <w:szCs w:val="24"/>
        </w:rPr>
        <w:t xml:space="preserve"> eura</w:t>
      </w:r>
      <w:r w:rsidRPr="001435E1">
        <w:rPr>
          <w:szCs w:val="24"/>
        </w:rPr>
        <w:t xml:space="preserve">) i sufinanciranje izgradnje nogostupa (65.000,00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</w:t>
      </w:r>
    </w:p>
    <w:p w14:paraId="3E132E03" w14:textId="73F93E24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634 - Pomoći od izvanproračunskih korisnika</w:t>
      </w:r>
      <w:r w:rsidRPr="001435E1">
        <w:rPr>
          <w:szCs w:val="24"/>
        </w:rPr>
        <w:t xml:space="preserve"> – ostvarene su u iznosu 110.836,92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a obuhvaćaju sredstva za program „Zaželi“</w:t>
      </w:r>
    </w:p>
    <w:p w14:paraId="00D90674" w14:textId="7B70669D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636 - Pomoći proračunskim korisnicima iz proračuna koji im nije nadležan</w:t>
      </w:r>
      <w:r w:rsidRPr="001435E1">
        <w:rPr>
          <w:szCs w:val="24"/>
        </w:rPr>
        <w:t xml:space="preserve"> – ostvarene su u iznosu 24.993,49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odnose se na tekuće i kapitalne pomoći proračunskim korisnicima Općinskoj knjižnici Krapinske Toplice i Dječjem vrtiću Maslačak Krapinske Toplice </w:t>
      </w:r>
    </w:p>
    <w:p w14:paraId="20D9500F" w14:textId="64DE3424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638 - Pomoći temeljem prijenosa EU sredstava</w:t>
      </w:r>
      <w:r w:rsidRPr="001435E1">
        <w:rPr>
          <w:szCs w:val="24"/>
        </w:rPr>
        <w:t xml:space="preserve"> – ostvarene su u iznosu 455.988,57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odnose se na prijenos sredstava fondova Europske unije Općinskoj knjižnici u iznosu 2.150,00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za troškove stručnog usavršavanja zaposlenika u sklopu Erasmus akreditacije (Tečaj u Španjolskoj). Općina Krapinske Toplice ostvarila je pomoći iz Državnog proračuna u iznosu 51.857,25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za uređenje dječjih igrališta i vrtića te pomoći iz Europskog fonda za regionalni razvoj za provedbu projekta “Toplice kulture” u iznosu 401.621,32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</w:t>
      </w:r>
    </w:p>
    <w:p w14:paraId="4BE1009A" w14:textId="77777777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</w:p>
    <w:p w14:paraId="7FAE3B87" w14:textId="77777777" w:rsidR="00BC406C" w:rsidRPr="001435E1" w:rsidRDefault="00BC406C" w:rsidP="00BC406C">
      <w:pPr>
        <w:jc w:val="both"/>
        <w:rPr>
          <w:i/>
          <w:iCs/>
          <w:szCs w:val="24"/>
        </w:rPr>
      </w:pPr>
      <w:r w:rsidRPr="001435E1">
        <w:rPr>
          <w:b/>
          <w:i/>
          <w:iCs/>
          <w:szCs w:val="24"/>
        </w:rPr>
        <w:t xml:space="preserve">Prihodi od imovine </w:t>
      </w:r>
    </w:p>
    <w:p w14:paraId="2794735F" w14:textId="77777777" w:rsidR="00F7336B" w:rsidRPr="001435E1" w:rsidRDefault="00F7336B" w:rsidP="00BC406C">
      <w:pPr>
        <w:jc w:val="both"/>
        <w:rPr>
          <w:color w:val="FF0000"/>
          <w:szCs w:val="24"/>
        </w:rPr>
      </w:pPr>
    </w:p>
    <w:p w14:paraId="4B4044E4" w14:textId="719977C3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Ostvarenje prihoda od imovine veće je u odnosu na isto razdoblje prethodne godine za 58,21 % te iznosi 18.015,85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81,23 % manje od godišnjeg plana. </w:t>
      </w:r>
    </w:p>
    <w:p w14:paraId="3BB29051" w14:textId="604D049E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szCs w:val="24"/>
        </w:rPr>
        <w:t xml:space="preserve"> </w:t>
      </w:r>
      <w:r w:rsidRPr="001435E1">
        <w:rPr>
          <w:i/>
          <w:iCs/>
          <w:szCs w:val="24"/>
        </w:rPr>
        <w:t>641 - Prihodi od financijske imovine</w:t>
      </w:r>
      <w:r w:rsidRPr="001435E1">
        <w:rPr>
          <w:szCs w:val="24"/>
        </w:rPr>
        <w:t xml:space="preserve"> iznose 13,57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bilježe smanjenje od 97,40 % u odnosu na prošlu godinu, a navedeni su ostvareni kod proračunskih korisnika Općinske knjižnice u iznosu 2,92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i Dječjeg vrtića Maslačak Krapinske Toplice u iznosu 10,65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se odnose na kamate na depozite po viđenju. </w:t>
      </w:r>
    </w:p>
    <w:p w14:paraId="4C5746AC" w14:textId="586C5DD9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642 - Prihodi od nefinancijske imovine</w:t>
      </w:r>
      <w:r w:rsidRPr="001435E1">
        <w:rPr>
          <w:szCs w:val="24"/>
        </w:rPr>
        <w:t xml:space="preserve"> bilježe povećanje u odnosu na prošlu godinu za 65,69 % te iznose 18.002,28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. Prihodi su ostvareni s osnove prihoda od naknada za koncesije, naknada za korištenje nefinancijske imovine i ostalih prihoda.</w:t>
      </w:r>
    </w:p>
    <w:p w14:paraId="4B3F06C1" w14:textId="051ABCFC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lastRenderedPageBreak/>
        <w:t xml:space="preserve">Prihodi od naknada za koncesije – ostvareni su u iznosu od 16.457,64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63,16 % više u odnosu na prethodnu godinu, a obuhvaćanju dimnjačarsku koncesiju (5.308,92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koncesiju za odvoz smeća (11.148,72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).</w:t>
      </w:r>
    </w:p>
    <w:p w14:paraId="7EAB19C5" w14:textId="77777777" w:rsidR="00F7336B" w:rsidRPr="001435E1" w:rsidRDefault="00F7336B" w:rsidP="00F7336B">
      <w:pPr>
        <w:jc w:val="both"/>
        <w:rPr>
          <w:szCs w:val="24"/>
        </w:rPr>
      </w:pPr>
    </w:p>
    <w:p w14:paraId="4BF304E3" w14:textId="6DD0CF3C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Naknada za korištenje nefinancijske imovine – ostvareni su u iznosu od 860,77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408,91 % više u odnosu na prethodnu godinu, a obuhvaća spomeničku rentu (145,46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prihode od prenamjene poljoprivrednog zemljišta (715,31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</w:t>
      </w:r>
    </w:p>
    <w:p w14:paraId="3329ABB7" w14:textId="77777777" w:rsidR="00F7336B" w:rsidRPr="001435E1" w:rsidRDefault="00F7336B" w:rsidP="00F7336B">
      <w:pPr>
        <w:jc w:val="both"/>
        <w:rPr>
          <w:szCs w:val="24"/>
        </w:rPr>
      </w:pPr>
    </w:p>
    <w:p w14:paraId="450F4C16" w14:textId="050886D7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Ostali prihodi od nefinancijske imovine ostvareni su u iznosu 683,87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12,31 % više u odnosu na prethodnu godinu, a odnose se na prihode od legalizacije. </w:t>
      </w:r>
    </w:p>
    <w:p w14:paraId="0BFD6D32" w14:textId="45C1DD92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 </w:t>
      </w:r>
    </w:p>
    <w:p w14:paraId="1452C672" w14:textId="77777777" w:rsidR="00BC406C" w:rsidRPr="001435E1" w:rsidRDefault="00BC406C" w:rsidP="00BC406C">
      <w:pPr>
        <w:jc w:val="both"/>
        <w:rPr>
          <w:i/>
          <w:iCs/>
          <w:szCs w:val="24"/>
        </w:rPr>
      </w:pPr>
      <w:r w:rsidRPr="001435E1">
        <w:rPr>
          <w:b/>
          <w:i/>
          <w:iCs/>
          <w:color w:val="FF0000"/>
          <w:szCs w:val="24"/>
        </w:rPr>
        <w:t xml:space="preserve"> </w:t>
      </w:r>
      <w:r w:rsidRPr="001435E1">
        <w:rPr>
          <w:b/>
          <w:i/>
          <w:iCs/>
          <w:szCs w:val="24"/>
        </w:rPr>
        <w:t>Prihod od upravnih i administrativnih pristojbi, pristojbi po posebnim propisima i naknada</w:t>
      </w:r>
    </w:p>
    <w:p w14:paraId="759C3D66" w14:textId="77777777" w:rsidR="00F7336B" w:rsidRPr="001435E1" w:rsidRDefault="00F7336B" w:rsidP="00F7336B">
      <w:pPr>
        <w:jc w:val="both"/>
        <w:rPr>
          <w:szCs w:val="24"/>
        </w:rPr>
      </w:pPr>
    </w:p>
    <w:p w14:paraId="6695C572" w14:textId="60AD5B81" w:rsidR="00BC406C" w:rsidRPr="001435E1" w:rsidRDefault="00BC406C" w:rsidP="00F7336B">
      <w:pPr>
        <w:jc w:val="both"/>
        <w:rPr>
          <w:color w:val="FF0000"/>
          <w:szCs w:val="24"/>
        </w:rPr>
      </w:pPr>
      <w:r w:rsidRPr="001435E1">
        <w:rPr>
          <w:szCs w:val="24"/>
        </w:rPr>
        <w:t xml:space="preserve">Prihodi su ostvareni u iznosu od 450.922,01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više za 33,50 % u odnosu na prethodnu godinu, te 33,48 % više od planiranog.</w:t>
      </w:r>
    </w:p>
    <w:p w14:paraId="1AC49DED" w14:textId="41F36797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651 - Upravne i administrativne pristojbe</w:t>
      </w:r>
      <w:r w:rsidRPr="001435E1">
        <w:rPr>
          <w:szCs w:val="24"/>
        </w:rPr>
        <w:t xml:space="preserve"> – ostvareni su u iznosu od 25.348,88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0,09 % manje nego prethodne godine. Navedeno obuhvaća prihod od prodaje državnih biljega (61,44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turističku pristojbu (7.933,89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te naknadu za korištenje javnih površina (17.353,55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).</w:t>
      </w:r>
    </w:p>
    <w:p w14:paraId="03EB5C13" w14:textId="2C2D90A8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652 - Prihodi po posebnim propisima</w:t>
      </w:r>
      <w:r w:rsidRPr="001435E1">
        <w:rPr>
          <w:szCs w:val="24"/>
        </w:rPr>
        <w:t xml:space="preserve"> – ostvareni su s osnove ostalih nespomenutih prihoda u ukupnom iznosu od 196.612,78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ili 6,90 % više nego prethodne godine. Najveći dio, čak 185.392,02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odnosi se na sufinanciranje cijene usluga u Dječjem vrtiću Maslačak. </w:t>
      </w:r>
    </w:p>
    <w:p w14:paraId="7738099C" w14:textId="73FE37B5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653 - Komunalni doprinosi i naknade</w:t>
      </w:r>
      <w:r w:rsidRPr="001435E1">
        <w:rPr>
          <w:szCs w:val="24"/>
        </w:rPr>
        <w:t xml:space="preserve"> – ukupan prihod iznosi 228.960,35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Temeljem izdanih rješenja naplaćeni prihod od komunalnog doprinosa iznosi 27.318,80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25,05 % više u odnosu na prethodnu godinu, dok je od komunalne naknade ostvareno 201.641,55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što je 89,00 % više nego prethodne godine.</w:t>
      </w:r>
    </w:p>
    <w:p w14:paraId="3BD5952A" w14:textId="77777777" w:rsidR="00BC406C" w:rsidRPr="001435E1" w:rsidRDefault="00BC406C" w:rsidP="00BC406C">
      <w:pPr>
        <w:ind w:firstLine="708"/>
        <w:jc w:val="both"/>
        <w:rPr>
          <w:szCs w:val="24"/>
        </w:rPr>
      </w:pPr>
    </w:p>
    <w:p w14:paraId="1ED3EC22" w14:textId="77777777" w:rsidR="00BC406C" w:rsidRPr="001435E1" w:rsidRDefault="00BC406C" w:rsidP="00BC406C">
      <w:pPr>
        <w:jc w:val="both"/>
        <w:rPr>
          <w:b/>
          <w:bCs/>
          <w:i/>
          <w:iCs/>
          <w:szCs w:val="24"/>
        </w:rPr>
      </w:pPr>
      <w:r w:rsidRPr="001435E1">
        <w:rPr>
          <w:b/>
          <w:bCs/>
          <w:i/>
          <w:iCs/>
          <w:szCs w:val="24"/>
        </w:rPr>
        <w:t>Prihodi od prodaje proizvoda i robe te pruženih usluga i prihodi od donacija</w:t>
      </w:r>
    </w:p>
    <w:p w14:paraId="709F8F0B" w14:textId="77777777" w:rsidR="00F7336B" w:rsidRPr="001435E1" w:rsidRDefault="00F7336B" w:rsidP="00BC406C">
      <w:pPr>
        <w:jc w:val="both"/>
        <w:rPr>
          <w:color w:val="FF0000"/>
          <w:szCs w:val="24"/>
        </w:rPr>
      </w:pPr>
    </w:p>
    <w:p w14:paraId="55623F49" w14:textId="5B413BCA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Prihodi s te osnove ostvareni su u ukupnom iznosu od 282,30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i odnose se na prihode od pruženih usluga. Ostvareni su u postotku od 80,53 % manje od planiranog. Prihod od pruženih usluga ostvaruje proračunski korisnik Dječji vrtić Maslačak za najam prostora. </w:t>
      </w:r>
    </w:p>
    <w:p w14:paraId="10C2D8AE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1DFF46EE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Kazne, upravne mjere i ostali prihodi</w:t>
      </w:r>
    </w:p>
    <w:p w14:paraId="39ACDCD1" w14:textId="77777777" w:rsidR="00F7336B" w:rsidRPr="001435E1" w:rsidRDefault="00F7336B" w:rsidP="00F7336B">
      <w:pPr>
        <w:jc w:val="both"/>
        <w:rPr>
          <w:szCs w:val="24"/>
        </w:rPr>
      </w:pPr>
    </w:p>
    <w:p w14:paraId="6C163508" w14:textId="05A8D981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Prihodi s te osnove ostvareni su u ukupnom iznosu od 1.982,07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86,52 % manje od planiranog iznosa, a odnose se na prihode za povrat neiskorištenih sredstava za akontaciju za održavanje lokalnih izbora. </w:t>
      </w:r>
    </w:p>
    <w:p w14:paraId="2AFD6B58" w14:textId="77777777" w:rsidR="00BC406C" w:rsidRPr="001435E1" w:rsidRDefault="00BC406C" w:rsidP="00BC406C">
      <w:pPr>
        <w:ind w:firstLine="284"/>
        <w:jc w:val="both"/>
        <w:rPr>
          <w:szCs w:val="24"/>
        </w:rPr>
      </w:pPr>
    </w:p>
    <w:p w14:paraId="7C48BD63" w14:textId="77777777" w:rsidR="00BC406C" w:rsidRPr="001435E1" w:rsidRDefault="00BC406C" w:rsidP="00BC406C">
      <w:pPr>
        <w:jc w:val="both"/>
        <w:rPr>
          <w:szCs w:val="24"/>
        </w:rPr>
      </w:pPr>
      <w:r w:rsidRPr="001435E1">
        <w:rPr>
          <w:b/>
          <w:szCs w:val="24"/>
        </w:rPr>
        <w:t>PRIHODI OD PRODAJE NEFINACIJSKE IMOVINE</w:t>
      </w:r>
      <w:r w:rsidRPr="001435E1">
        <w:rPr>
          <w:szCs w:val="24"/>
        </w:rPr>
        <w:t xml:space="preserve"> </w:t>
      </w:r>
    </w:p>
    <w:p w14:paraId="10F3ABF3" w14:textId="77777777" w:rsidR="00F7336B" w:rsidRPr="001435E1" w:rsidRDefault="00F7336B" w:rsidP="00F7336B">
      <w:pPr>
        <w:tabs>
          <w:tab w:val="left" w:pos="6946"/>
          <w:tab w:val="left" w:pos="7088"/>
        </w:tabs>
        <w:jc w:val="both"/>
        <w:rPr>
          <w:szCs w:val="24"/>
        </w:rPr>
      </w:pPr>
    </w:p>
    <w:p w14:paraId="638D8FDD" w14:textId="37A0052F" w:rsidR="00BC406C" w:rsidRPr="001435E1" w:rsidRDefault="00BC406C" w:rsidP="00F7336B">
      <w:pPr>
        <w:tabs>
          <w:tab w:val="left" w:pos="6946"/>
          <w:tab w:val="left" w:pos="7088"/>
        </w:tabs>
        <w:jc w:val="both"/>
        <w:rPr>
          <w:szCs w:val="24"/>
        </w:rPr>
      </w:pPr>
      <w:r w:rsidRPr="001435E1">
        <w:rPr>
          <w:szCs w:val="24"/>
        </w:rPr>
        <w:t xml:space="preserve">Ostvarenje prihoda iznosi 3.111,35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odnosno ostvareno je 2,07 % planiranog, a obuhvaća prihod od prodaje zemljišta u iznosu 1.826,25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prihod od prodaje prijevoznih sredstava tj. prodaje kombi vozila u iznosu 1.292,00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</w:t>
      </w:r>
    </w:p>
    <w:p w14:paraId="2E0D3C9D" w14:textId="77777777" w:rsidR="00BC406C" w:rsidRDefault="00BC406C" w:rsidP="00BC406C">
      <w:pPr>
        <w:jc w:val="both"/>
        <w:rPr>
          <w:color w:val="FF0000"/>
          <w:szCs w:val="24"/>
        </w:rPr>
      </w:pPr>
    </w:p>
    <w:p w14:paraId="5D8CD5D6" w14:textId="77777777" w:rsidR="001435E1" w:rsidRDefault="001435E1" w:rsidP="00BC406C">
      <w:pPr>
        <w:jc w:val="both"/>
        <w:rPr>
          <w:color w:val="FF0000"/>
          <w:szCs w:val="24"/>
        </w:rPr>
      </w:pPr>
    </w:p>
    <w:p w14:paraId="7D02839C" w14:textId="77777777" w:rsidR="001435E1" w:rsidRDefault="001435E1" w:rsidP="00BC406C">
      <w:pPr>
        <w:jc w:val="both"/>
        <w:rPr>
          <w:color w:val="FF0000"/>
          <w:szCs w:val="24"/>
        </w:rPr>
      </w:pPr>
    </w:p>
    <w:p w14:paraId="1969BFC0" w14:textId="77777777" w:rsidR="001435E1" w:rsidRDefault="001435E1" w:rsidP="00BC406C">
      <w:pPr>
        <w:jc w:val="both"/>
        <w:rPr>
          <w:color w:val="FF0000"/>
          <w:szCs w:val="24"/>
        </w:rPr>
      </w:pPr>
    </w:p>
    <w:p w14:paraId="28B90826" w14:textId="77777777" w:rsidR="001435E1" w:rsidRDefault="001435E1" w:rsidP="00BC406C">
      <w:pPr>
        <w:jc w:val="both"/>
        <w:rPr>
          <w:color w:val="FF0000"/>
          <w:szCs w:val="24"/>
        </w:rPr>
      </w:pPr>
    </w:p>
    <w:p w14:paraId="3AE1D313" w14:textId="77777777" w:rsidR="001435E1" w:rsidRPr="001435E1" w:rsidRDefault="001435E1" w:rsidP="00BC406C">
      <w:pPr>
        <w:jc w:val="both"/>
        <w:rPr>
          <w:color w:val="FF0000"/>
          <w:szCs w:val="24"/>
        </w:rPr>
      </w:pPr>
    </w:p>
    <w:p w14:paraId="4CDB2036" w14:textId="77777777" w:rsidR="00BC406C" w:rsidRPr="001435E1" w:rsidRDefault="00BC406C" w:rsidP="00BC406C">
      <w:pPr>
        <w:jc w:val="both"/>
        <w:rPr>
          <w:b/>
          <w:szCs w:val="24"/>
        </w:rPr>
      </w:pPr>
      <w:r w:rsidRPr="001435E1">
        <w:rPr>
          <w:b/>
          <w:szCs w:val="24"/>
        </w:rPr>
        <w:lastRenderedPageBreak/>
        <w:t>RASHODE U 2025. GODINI ČINE:</w:t>
      </w:r>
    </w:p>
    <w:tbl>
      <w:tblPr>
        <w:tblW w:w="5898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464"/>
        <w:gridCol w:w="2114"/>
        <w:gridCol w:w="1112"/>
      </w:tblGrid>
      <w:tr w:rsidR="000017F5" w:rsidRPr="001435E1" w14:paraId="3D9B459A" w14:textId="77777777" w:rsidTr="001435E1">
        <w:trPr>
          <w:trHeight w:val="113"/>
          <w:tblHeader/>
          <w:jc w:val="center"/>
        </w:trPr>
        <w:tc>
          <w:tcPr>
            <w:tcW w:w="3491" w:type="pct"/>
            <w:noWrap/>
            <w:vAlign w:val="center"/>
          </w:tcPr>
          <w:p w14:paraId="2F66DA0B" w14:textId="344127DF" w:rsidR="000017F5" w:rsidRPr="001435E1" w:rsidRDefault="00BC406C" w:rsidP="005C6331">
            <w:pPr>
              <w:rPr>
                <w:b/>
                <w:bCs/>
                <w:szCs w:val="24"/>
              </w:rPr>
            </w:pPr>
            <w:r w:rsidRPr="001435E1">
              <w:rPr>
                <w:color w:val="FF0000"/>
                <w:szCs w:val="24"/>
              </w:rPr>
              <w:t xml:space="preserve">      </w:t>
            </w:r>
            <w:r w:rsidR="000017F5" w:rsidRPr="001435E1">
              <w:rPr>
                <w:b/>
                <w:bCs/>
                <w:szCs w:val="24"/>
              </w:rPr>
              <w:t>Vrsta rashoda</w:t>
            </w:r>
          </w:p>
        </w:tc>
        <w:tc>
          <w:tcPr>
            <w:tcW w:w="989" w:type="pct"/>
            <w:noWrap/>
            <w:vAlign w:val="center"/>
          </w:tcPr>
          <w:p w14:paraId="17C79285" w14:textId="77777777" w:rsidR="000017F5" w:rsidRPr="001435E1" w:rsidRDefault="000017F5" w:rsidP="005C6331">
            <w:pPr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Iznos u eurima</w:t>
            </w:r>
          </w:p>
        </w:tc>
        <w:tc>
          <w:tcPr>
            <w:tcW w:w="520" w:type="pct"/>
            <w:noWrap/>
            <w:vAlign w:val="center"/>
          </w:tcPr>
          <w:p w14:paraId="5E4CA679" w14:textId="77777777" w:rsidR="000017F5" w:rsidRPr="001435E1" w:rsidRDefault="000017F5" w:rsidP="005C6331">
            <w:pPr>
              <w:jc w:val="right"/>
              <w:textAlignment w:val="center"/>
              <w:rPr>
                <w:b/>
                <w:bCs/>
                <w:szCs w:val="24"/>
                <w:lang w:eastAsia="zh-CN" w:bidi="ar"/>
              </w:rPr>
            </w:pPr>
            <w:r w:rsidRPr="001435E1">
              <w:rPr>
                <w:b/>
                <w:bCs/>
                <w:szCs w:val="24"/>
                <w:lang w:eastAsia="zh-CN" w:bidi="ar"/>
              </w:rPr>
              <w:t>Postotak</w:t>
            </w:r>
          </w:p>
        </w:tc>
      </w:tr>
      <w:tr w:rsidR="000017F5" w:rsidRPr="001435E1" w14:paraId="331D8595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08C9F007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Rashodi za zaposlene</w:t>
            </w:r>
          </w:p>
        </w:tc>
        <w:tc>
          <w:tcPr>
            <w:tcW w:w="989" w:type="pct"/>
            <w:noWrap/>
            <w:vAlign w:val="center"/>
          </w:tcPr>
          <w:p w14:paraId="4609F02B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 xml:space="preserve">  1.473.235,11</w:t>
            </w:r>
          </w:p>
        </w:tc>
        <w:tc>
          <w:tcPr>
            <w:tcW w:w="520" w:type="pct"/>
            <w:noWrap/>
            <w:vAlign w:val="center"/>
          </w:tcPr>
          <w:p w14:paraId="064F813C" w14:textId="77777777" w:rsidR="000017F5" w:rsidRPr="001435E1" w:rsidRDefault="000017F5" w:rsidP="000017F5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22,52%</w:t>
            </w:r>
          </w:p>
        </w:tc>
      </w:tr>
      <w:tr w:rsidR="000017F5" w:rsidRPr="001435E1" w14:paraId="3A92090B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0E9A741B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Materijalni rashodi</w:t>
            </w:r>
          </w:p>
        </w:tc>
        <w:tc>
          <w:tcPr>
            <w:tcW w:w="989" w:type="pct"/>
            <w:noWrap/>
          </w:tcPr>
          <w:p w14:paraId="5664F484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1.573.595,07</w:t>
            </w:r>
          </w:p>
        </w:tc>
        <w:tc>
          <w:tcPr>
            <w:tcW w:w="520" w:type="pct"/>
            <w:noWrap/>
            <w:vAlign w:val="center"/>
          </w:tcPr>
          <w:p w14:paraId="7A055B71" w14:textId="77777777" w:rsidR="000017F5" w:rsidRPr="001435E1" w:rsidRDefault="000017F5" w:rsidP="000017F5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24,06%</w:t>
            </w:r>
          </w:p>
        </w:tc>
      </w:tr>
      <w:tr w:rsidR="000017F5" w:rsidRPr="001435E1" w14:paraId="6D367E1A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0F71C2BE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Financijski rashodi</w:t>
            </w:r>
          </w:p>
        </w:tc>
        <w:tc>
          <w:tcPr>
            <w:tcW w:w="989" w:type="pct"/>
            <w:noWrap/>
            <w:vAlign w:val="center"/>
          </w:tcPr>
          <w:p w14:paraId="1A489B0A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71.603,04</w:t>
            </w:r>
          </w:p>
        </w:tc>
        <w:tc>
          <w:tcPr>
            <w:tcW w:w="520" w:type="pct"/>
            <w:noWrap/>
            <w:vAlign w:val="center"/>
          </w:tcPr>
          <w:p w14:paraId="6E7081F5" w14:textId="77777777" w:rsidR="000017F5" w:rsidRPr="001435E1" w:rsidRDefault="000017F5" w:rsidP="000017F5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1,09%</w:t>
            </w:r>
          </w:p>
        </w:tc>
      </w:tr>
      <w:tr w:rsidR="000017F5" w:rsidRPr="001435E1" w14:paraId="2392DD02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5E908D13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Subvencije</w:t>
            </w:r>
          </w:p>
        </w:tc>
        <w:tc>
          <w:tcPr>
            <w:tcW w:w="989" w:type="pct"/>
            <w:noWrap/>
          </w:tcPr>
          <w:p w14:paraId="6A8105D0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 xml:space="preserve">16.033,21    </w:t>
            </w:r>
          </w:p>
        </w:tc>
        <w:tc>
          <w:tcPr>
            <w:tcW w:w="520" w:type="pct"/>
            <w:noWrap/>
            <w:vAlign w:val="center"/>
          </w:tcPr>
          <w:p w14:paraId="72C8FCB0" w14:textId="77777777" w:rsidR="000017F5" w:rsidRPr="001435E1" w:rsidRDefault="000017F5" w:rsidP="000017F5">
            <w:pPr>
              <w:jc w:val="right"/>
              <w:textAlignment w:val="center"/>
              <w:rPr>
                <w:szCs w:val="24"/>
                <w:lang w:eastAsia="zh-CN" w:bidi="ar"/>
              </w:rPr>
            </w:pPr>
            <w:r w:rsidRPr="001435E1">
              <w:rPr>
                <w:szCs w:val="24"/>
                <w:lang w:eastAsia="zh-CN" w:bidi="ar"/>
              </w:rPr>
              <w:t>0,25%</w:t>
            </w:r>
          </w:p>
        </w:tc>
      </w:tr>
      <w:tr w:rsidR="000017F5" w:rsidRPr="001435E1" w14:paraId="0DC9BB36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1BD5DB19" w14:textId="62987AC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Pomoći dane u inozemstvo i unutar općeg. pr.</w:t>
            </w:r>
          </w:p>
        </w:tc>
        <w:tc>
          <w:tcPr>
            <w:tcW w:w="989" w:type="pct"/>
            <w:noWrap/>
          </w:tcPr>
          <w:p w14:paraId="072BF3C2" w14:textId="52443D8B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 xml:space="preserve">55.481,25    </w:t>
            </w:r>
          </w:p>
        </w:tc>
        <w:tc>
          <w:tcPr>
            <w:tcW w:w="520" w:type="pct"/>
            <w:noWrap/>
            <w:vAlign w:val="center"/>
          </w:tcPr>
          <w:p w14:paraId="3C330EC0" w14:textId="73B7DF29" w:rsidR="000017F5" w:rsidRPr="001435E1" w:rsidRDefault="000017F5" w:rsidP="000017F5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</w:rPr>
              <w:t>0,85 %</w:t>
            </w:r>
          </w:p>
        </w:tc>
      </w:tr>
      <w:tr w:rsidR="000017F5" w:rsidRPr="001435E1" w14:paraId="219068A7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0F1FC9D5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Naknade građanima i kućanstvima na temelju osiguranja i druge naknade</w:t>
            </w:r>
          </w:p>
        </w:tc>
        <w:tc>
          <w:tcPr>
            <w:tcW w:w="989" w:type="pct"/>
            <w:noWrap/>
          </w:tcPr>
          <w:p w14:paraId="518EA13B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250.454,50</w:t>
            </w:r>
          </w:p>
        </w:tc>
        <w:tc>
          <w:tcPr>
            <w:tcW w:w="520" w:type="pct"/>
            <w:noWrap/>
            <w:vAlign w:val="center"/>
          </w:tcPr>
          <w:p w14:paraId="67CC3EC1" w14:textId="0AD2DDB7" w:rsidR="000017F5" w:rsidRPr="001435E1" w:rsidRDefault="000017F5" w:rsidP="000017F5">
            <w:pPr>
              <w:jc w:val="right"/>
              <w:textAlignment w:val="center"/>
              <w:rPr>
                <w:szCs w:val="24"/>
                <w:lang w:eastAsia="zh-CN" w:bidi="ar"/>
              </w:rPr>
            </w:pPr>
            <w:r w:rsidRPr="001435E1">
              <w:rPr>
                <w:szCs w:val="24"/>
                <w:lang w:eastAsia="zh-CN" w:bidi="ar"/>
              </w:rPr>
              <w:t>3,83 %</w:t>
            </w:r>
          </w:p>
        </w:tc>
      </w:tr>
      <w:tr w:rsidR="000017F5" w:rsidRPr="001435E1" w14:paraId="58D3B33A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3C0B8FC8" w14:textId="7777777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szCs w:val="24"/>
              </w:rPr>
              <w:t>Rashodi za donacije, kazne, naknade šteta i kapitalne pomoći</w:t>
            </w:r>
          </w:p>
        </w:tc>
        <w:tc>
          <w:tcPr>
            <w:tcW w:w="989" w:type="pct"/>
            <w:noWrap/>
            <w:vAlign w:val="center"/>
          </w:tcPr>
          <w:p w14:paraId="2297BF94" w14:textId="77777777" w:rsidR="000017F5" w:rsidRPr="001435E1" w:rsidRDefault="000017F5" w:rsidP="000017F5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>541.124,73</w:t>
            </w:r>
          </w:p>
        </w:tc>
        <w:tc>
          <w:tcPr>
            <w:tcW w:w="520" w:type="pct"/>
            <w:noWrap/>
            <w:vAlign w:val="center"/>
          </w:tcPr>
          <w:p w14:paraId="329D5507" w14:textId="77777777" w:rsidR="000017F5" w:rsidRPr="001435E1" w:rsidRDefault="000017F5" w:rsidP="000017F5">
            <w:pPr>
              <w:jc w:val="right"/>
              <w:textAlignment w:val="center"/>
              <w:rPr>
                <w:szCs w:val="24"/>
              </w:rPr>
            </w:pPr>
            <w:r w:rsidRPr="001435E1">
              <w:rPr>
                <w:szCs w:val="24"/>
                <w:lang w:eastAsia="zh-CN" w:bidi="ar"/>
              </w:rPr>
              <w:t>8,27%</w:t>
            </w:r>
          </w:p>
        </w:tc>
      </w:tr>
      <w:tr w:rsidR="000017F5" w:rsidRPr="001435E1" w14:paraId="30B03572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4C8F8F10" w14:textId="77777777" w:rsidR="000017F5" w:rsidRPr="001435E1" w:rsidRDefault="000017F5" w:rsidP="005C6331">
            <w:pPr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RASHODI POSLOVANJA UKUPNO</w:t>
            </w:r>
          </w:p>
        </w:tc>
        <w:tc>
          <w:tcPr>
            <w:tcW w:w="989" w:type="pct"/>
            <w:noWrap/>
            <w:vAlign w:val="center"/>
          </w:tcPr>
          <w:p w14:paraId="3A702E3B" w14:textId="77777777" w:rsidR="000017F5" w:rsidRPr="001435E1" w:rsidRDefault="000017F5" w:rsidP="005C6331">
            <w:pPr>
              <w:jc w:val="right"/>
              <w:rPr>
                <w:b/>
                <w:bCs/>
                <w:szCs w:val="24"/>
              </w:rPr>
            </w:pPr>
            <w:r w:rsidRPr="001435E1">
              <w:rPr>
                <w:b/>
                <w:bCs/>
                <w:szCs w:val="24"/>
              </w:rPr>
              <w:t>3.981.526,91</w:t>
            </w:r>
          </w:p>
        </w:tc>
        <w:tc>
          <w:tcPr>
            <w:tcW w:w="520" w:type="pct"/>
            <w:noWrap/>
            <w:vAlign w:val="center"/>
          </w:tcPr>
          <w:p w14:paraId="7CAA69F7" w14:textId="77777777" w:rsidR="000017F5" w:rsidRPr="001435E1" w:rsidRDefault="000017F5" w:rsidP="005C6331">
            <w:pPr>
              <w:rPr>
                <w:color w:val="FF0000"/>
                <w:szCs w:val="24"/>
              </w:rPr>
            </w:pPr>
          </w:p>
        </w:tc>
      </w:tr>
      <w:tr w:rsidR="000017F5" w:rsidRPr="001435E1" w14:paraId="5E599C89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058D27FD" w14:textId="1303413A" w:rsidR="000017F5" w:rsidRPr="001435E1" w:rsidRDefault="000017F5" w:rsidP="005C6331">
            <w:pPr>
              <w:rPr>
                <w:b/>
                <w:bCs/>
                <w:szCs w:val="24"/>
              </w:rPr>
            </w:pPr>
            <w:r w:rsidRPr="001435E1">
              <w:rPr>
                <w:szCs w:val="24"/>
              </w:rPr>
              <w:t>Rashodi za nabavu proizvedene dugotrajne im.</w:t>
            </w:r>
          </w:p>
        </w:tc>
        <w:tc>
          <w:tcPr>
            <w:tcW w:w="989" w:type="pct"/>
            <w:noWrap/>
            <w:vAlign w:val="center"/>
          </w:tcPr>
          <w:p w14:paraId="1343C0E5" w14:textId="32E4E493" w:rsidR="000017F5" w:rsidRPr="001435E1" w:rsidRDefault="000017F5" w:rsidP="005C6331">
            <w:pPr>
              <w:jc w:val="right"/>
              <w:rPr>
                <w:b/>
                <w:bCs/>
                <w:szCs w:val="24"/>
              </w:rPr>
            </w:pPr>
            <w:r w:rsidRPr="001435E1">
              <w:rPr>
                <w:szCs w:val="24"/>
              </w:rPr>
              <w:t xml:space="preserve">2.559.208,29     </w:t>
            </w:r>
          </w:p>
        </w:tc>
        <w:tc>
          <w:tcPr>
            <w:tcW w:w="520" w:type="pct"/>
            <w:noWrap/>
            <w:vAlign w:val="center"/>
          </w:tcPr>
          <w:p w14:paraId="294BDC92" w14:textId="5F975C33" w:rsidR="000017F5" w:rsidRPr="001435E1" w:rsidRDefault="000017F5" w:rsidP="000017F5">
            <w:pPr>
              <w:jc w:val="right"/>
              <w:rPr>
                <w:color w:val="FF0000"/>
                <w:szCs w:val="24"/>
              </w:rPr>
            </w:pPr>
            <w:r w:rsidRPr="001435E1">
              <w:rPr>
                <w:szCs w:val="24"/>
              </w:rPr>
              <w:t>39,13 %</w:t>
            </w:r>
          </w:p>
        </w:tc>
      </w:tr>
      <w:tr w:rsidR="000017F5" w:rsidRPr="001435E1" w14:paraId="7288719C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77D9E9D9" w14:textId="2D302417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b/>
                <w:bCs/>
                <w:szCs w:val="24"/>
              </w:rPr>
              <w:t xml:space="preserve">RASHODI ZA NABAVU NEFINANCIJSKE IMOVINE UKUPNO    </w:t>
            </w:r>
          </w:p>
        </w:tc>
        <w:tc>
          <w:tcPr>
            <w:tcW w:w="989" w:type="pct"/>
            <w:noWrap/>
            <w:vAlign w:val="center"/>
          </w:tcPr>
          <w:p w14:paraId="7DED23F6" w14:textId="2B8ACB27" w:rsidR="000017F5" w:rsidRPr="001435E1" w:rsidRDefault="000017F5" w:rsidP="005C6331">
            <w:pPr>
              <w:jc w:val="right"/>
              <w:rPr>
                <w:szCs w:val="24"/>
              </w:rPr>
            </w:pPr>
            <w:r w:rsidRPr="001435E1">
              <w:rPr>
                <w:szCs w:val="24"/>
              </w:rPr>
              <w:t xml:space="preserve">  </w:t>
            </w:r>
            <w:r w:rsidRPr="001435E1">
              <w:rPr>
                <w:b/>
                <w:bCs/>
                <w:szCs w:val="24"/>
              </w:rPr>
              <w:t>2.559.208,29</w:t>
            </w:r>
          </w:p>
        </w:tc>
        <w:tc>
          <w:tcPr>
            <w:tcW w:w="520" w:type="pct"/>
            <w:noWrap/>
            <w:vAlign w:val="center"/>
          </w:tcPr>
          <w:p w14:paraId="0D899792" w14:textId="77777777" w:rsidR="000017F5" w:rsidRPr="001435E1" w:rsidRDefault="000017F5" w:rsidP="005C6331">
            <w:pPr>
              <w:rPr>
                <w:color w:val="FF0000"/>
                <w:szCs w:val="24"/>
              </w:rPr>
            </w:pPr>
          </w:p>
        </w:tc>
      </w:tr>
      <w:tr w:rsidR="000017F5" w:rsidRPr="001435E1" w14:paraId="7029C505" w14:textId="77777777" w:rsidTr="000017F5">
        <w:trPr>
          <w:trHeight w:val="113"/>
          <w:jc w:val="center"/>
        </w:trPr>
        <w:tc>
          <w:tcPr>
            <w:tcW w:w="3491" w:type="pct"/>
            <w:noWrap/>
            <w:vAlign w:val="center"/>
          </w:tcPr>
          <w:p w14:paraId="544135DA" w14:textId="15004548" w:rsidR="000017F5" w:rsidRPr="001435E1" w:rsidRDefault="000017F5" w:rsidP="005C6331">
            <w:pPr>
              <w:rPr>
                <w:szCs w:val="24"/>
              </w:rPr>
            </w:pPr>
            <w:r w:rsidRPr="001435E1">
              <w:rPr>
                <w:b/>
                <w:bCs/>
                <w:szCs w:val="24"/>
              </w:rPr>
              <w:t xml:space="preserve">SVEUKUPNO RASHODI                                 </w:t>
            </w:r>
          </w:p>
        </w:tc>
        <w:tc>
          <w:tcPr>
            <w:tcW w:w="989" w:type="pct"/>
            <w:noWrap/>
            <w:vAlign w:val="center"/>
          </w:tcPr>
          <w:p w14:paraId="64BBCE33" w14:textId="062C7E04" w:rsidR="000017F5" w:rsidRPr="001435E1" w:rsidRDefault="000017F5" w:rsidP="000017F5">
            <w:pPr>
              <w:rPr>
                <w:b/>
                <w:bCs/>
                <w:szCs w:val="24"/>
              </w:rPr>
            </w:pPr>
            <w:r w:rsidRPr="001435E1">
              <w:rPr>
                <w:color w:val="FF0000"/>
                <w:szCs w:val="24"/>
              </w:rPr>
              <w:t xml:space="preserve">          </w:t>
            </w:r>
            <w:r w:rsidRPr="001435E1">
              <w:rPr>
                <w:b/>
                <w:bCs/>
                <w:szCs w:val="24"/>
              </w:rPr>
              <w:t xml:space="preserve">6.540.735,20 </w:t>
            </w:r>
          </w:p>
        </w:tc>
        <w:tc>
          <w:tcPr>
            <w:tcW w:w="520" w:type="pct"/>
            <w:noWrap/>
            <w:vAlign w:val="center"/>
          </w:tcPr>
          <w:p w14:paraId="13E26AD9" w14:textId="77777777" w:rsidR="000017F5" w:rsidRPr="001435E1" w:rsidRDefault="000017F5" w:rsidP="005C6331">
            <w:pPr>
              <w:rPr>
                <w:color w:val="FF0000"/>
                <w:szCs w:val="24"/>
              </w:rPr>
            </w:pPr>
          </w:p>
        </w:tc>
      </w:tr>
    </w:tbl>
    <w:p w14:paraId="687431A7" w14:textId="6A61C8DA" w:rsidR="00BC406C" w:rsidRPr="001435E1" w:rsidRDefault="00BC406C" w:rsidP="00BC406C">
      <w:pPr>
        <w:jc w:val="both"/>
        <w:rPr>
          <w:color w:val="FF0000"/>
          <w:szCs w:val="24"/>
        </w:rPr>
      </w:pPr>
      <w:r w:rsidRPr="001435E1">
        <w:rPr>
          <w:color w:val="FF0000"/>
          <w:szCs w:val="24"/>
        </w:rPr>
        <w:t xml:space="preserve">        </w:t>
      </w:r>
    </w:p>
    <w:p w14:paraId="4246EE34" w14:textId="77777777" w:rsidR="00F7336B" w:rsidRPr="001435E1" w:rsidRDefault="00BC406C" w:rsidP="00F7336B">
      <w:pPr>
        <w:rPr>
          <w:b/>
          <w:bCs/>
          <w:szCs w:val="24"/>
        </w:rPr>
      </w:pPr>
      <w:r w:rsidRPr="001435E1">
        <w:rPr>
          <w:b/>
          <w:bCs/>
          <w:szCs w:val="24"/>
        </w:rPr>
        <w:t>RASHODI POSLOVANJA</w:t>
      </w:r>
    </w:p>
    <w:p w14:paraId="7A7E7414" w14:textId="77777777" w:rsidR="00F7336B" w:rsidRPr="001435E1" w:rsidRDefault="00F7336B" w:rsidP="00F7336B">
      <w:pPr>
        <w:rPr>
          <w:b/>
          <w:bCs/>
          <w:szCs w:val="24"/>
        </w:rPr>
      </w:pPr>
    </w:p>
    <w:p w14:paraId="7587EEF3" w14:textId="362D14A9" w:rsidR="00BC406C" w:rsidRPr="001435E1" w:rsidRDefault="00BC406C" w:rsidP="00F7336B">
      <w:pPr>
        <w:rPr>
          <w:b/>
          <w:bCs/>
          <w:szCs w:val="24"/>
        </w:rPr>
      </w:pPr>
      <w:r w:rsidRPr="001435E1">
        <w:rPr>
          <w:szCs w:val="24"/>
        </w:rPr>
        <w:t xml:space="preserve">Rashodi poslovanja su izvršeni u ukupnom iznosu od 3.981.526,91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odnosno 43,25 % više u odnosu na isto razdoblje 2024. godine. Ako se napravi analiza, vidljivo je povećanje rashoda za zaposlene za 49,88 %, materijalnih rashoda za 30,33 %, financijskih rashoda za 56,90 %, subvencija za 46,35 %, pomoći danih u inozemstvo i unutar općeg proračuna za 148,29 %, naknada građanima i kućanstvima na temelju osiguranja i druge naknade za 73,11 % te povećanje rashoda za donacije, kazne, naknade šteta i kapitalne pomoći za 48,10 % u odnosu na prethodno razdoblje.</w:t>
      </w:r>
      <w:r w:rsidRPr="001435E1">
        <w:rPr>
          <w:color w:val="FF0000"/>
          <w:szCs w:val="24"/>
        </w:rPr>
        <w:t xml:space="preserve"> </w:t>
      </w:r>
    </w:p>
    <w:p w14:paraId="62EC78D4" w14:textId="77777777" w:rsidR="00F7336B" w:rsidRPr="001435E1" w:rsidRDefault="00F7336B" w:rsidP="00F7336B">
      <w:pPr>
        <w:jc w:val="both"/>
        <w:rPr>
          <w:szCs w:val="24"/>
        </w:rPr>
      </w:pPr>
    </w:p>
    <w:p w14:paraId="05E2A493" w14:textId="6038178D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Svi rashodi poslovanja u 2025. godini ostvareni su u manjem iznosu od planiranoga i to rashodi za zaposlene 10,30 %, materijalni rashodi 21,61 %, financijski rashodi 1,24 %, subvencije 42,94 %, pomoći dane u inozemstvo i unutar općeg proračuna 10,27 %, naknade građanima i kućanstvima na temelju osiguranja i druge naknade 12,65 % te rashodi za donacije, kazne, naknade šteta i kapitale pomoći 5,32 % manje od planiranog. </w:t>
      </w:r>
    </w:p>
    <w:p w14:paraId="6A2FF946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4D7ADE67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 xml:space="preserve">Rashodi za zaposlene </w:t>
      </w:r>
    </w:p>
    <w:p w14:paraId="5318F997" w14:textId="24E4397B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Ostvarenje ove skupine rashoda iznosi 1.473.235,11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je veće za 49,88 % u odnosu na 2024. godinu, a manje za 10,30 % od godišnjeg plana.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Rashodi za zaposlene obuhvaćanju: </w:t>
      </w:r>
    </w:p>
    <w:p w14:paraId="30F34D33" w14:textId="4EA1D3C5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311 - plaće za redovan rad</w:t>
      </w:r>
      <w:r w:rsidRPr="001435E1">
        <w:rPr>
          <w:szCs w:val="24"/>
        </w:rPr>
        <w:t xml:space="preserve"> – ostvareni u iznosu 1.228.898,83 </w:t>
      </w:r>
      <w:r w:rsidR="000017F5" w:rsidRPr="001435E1">
        <w:rPr>
          <w:szCs w:val="24"/>
        </w:rPr>
        <w:t>eura</w:t>
      </w:r>
    </w:p>
    <w:p w14:paraId="00E56623" w14:textId="65D27C90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312 - ostali rashodi za zaposlene</w:t>
      </w:r>
      <w:r w:rsidRPr="001435E1">
        <w:rPr>
          <w:szCs w:val="24"/>
        </w:rPr>
        <w:t xml:space="preserve"> – ostvareni u iznosu 59.667,49 </w:t>
      </w:r>
      <w:r w:rsidR="000017F5" w:rsidRPr="001435E1">
        <w:rPr>
          <w:szCs w:val="24"/>
        </w:rPr>
        <w:t>eura</w:t>
      </w:r>
    </w:p>
    <w:p w14:paraId="7B8C0EF3" w14:textId="73DF607A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  <w:r w:rsidRPr="001435E1">
        <w:rPr>
          <w:i/>
          <w:iCs/>
          <w:szCs w:val="24"/>
        </w:rPr>
        <w:t>313 - doprinosi za obvezno zdravstveno osiguranje</w:t>
      </w:r>
      <w:r w:rsidRPr="001435E1">
        <w:rPr>
          <w:szCs w:val="24"/>
        </w:rPr>
        <w:t xml:space="preserve"> – ostvareni u iznosu 184.668,79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.</w:t>
      </w:r>
    </w:p>
    <w:p w14:paraId="47266FFF" w14:textId="77777777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</w:p>
    <w:p w14:paraId="1FE9C875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Materijalni rashodi</w:t>
      </w:r>
    </w:p>
    <w:p w14:paraId="56502A5D" w14:textId="476D5CF9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>Skupina materijalnih rashoda obuhvaća naknade troškova zaposlenima, rashode za materijal i energiju, rashode za usluge, naknade troškova osobama izvan radnog odnosa te ostale nespomenut rashode poslovanja,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a ostvareni su u ukupnom iznosu od 1.573.595,07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odnosno 30,33 % više nego prethodne godine. Pojedine skupine rashoda u ukupnim rashodima iznose:</w:t>
      </w:r>
    </w:p>
    <w:p w14:paraId="3AF5E4C7" w14:textId="3C4AA52B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ab/>
      </w:r>
      <w:r w:rsidRPr="001435E1">
        <w:rPr>
          <w:i/>
          <w:iCs/>
          <w:szCs w:val="24"/>
        </w:rPr>
        <w:t>321 - naknade troškova zaposlenima</w:t>
      </w:r>
      <w:r w:rsidRPr="001435E1">
        <w:rPr>
          <w:i/>
          <w:iCs/>
          <w:szCs w:val="24"/>
        </w:rPr>
        <w:tab/>
      </w:r>
      <w:r w:rsidRPr="001435E1">
        <w:rPr>
          <w:szCs w:val="24"/>
        </w:rPr>
        <w:tab/>
      </w:r>
      <w:r w:rsidRPr="001435E1">
        <w:rPr>
          <w:szCs w:val="24"/>
        </w:rPr>
        <w:tab/>
        <w:t xml:space="preserve">               62.886,21 </w:t>
      </w:r>
      <w:r w:rsidR="000017F5" w:rsidRPr="001435E1">
        <w:rPr>
          <w:szCs w:val="24"/>
        </w:rPr>
        <w:t>eura</w:t>
      </w:r>
    </w:p>
    <w:p w14:paraId="0656695C" w14:textId="595C474F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ab/>
      </w:r>
      <w:r w:rsidRPr="001435E1">
        <w:rPr>
          <w:i/>
          <w:iCs/>
          <w:szCs w:val="24"/>
        </w:rPr>
        <w:t>322 - rashodi za materijal i energiju</w:t>
      </w:r>
      <w:r w:rsidRPr="001435E1">
        <w:rPr>
          <w:i/>
          <w:iCs/>
          <w:szCs w:val="24"/>
        </w:rPr>
        <w:tab/>
      </w:r>
      <w:r w:rsidRPr="001435E1">
        <w:rPr>
          <w:szCs w:val="24"/>
        </w:rPr>
        <w:tab/>
      </w:r>
      <w:r w:rsidRPr="001435E1">
        <w:rPr>
          <w:szCs w:val="24"/>
        </w:rPr>
        <w:tab/>
        <w:t xml:space="preserve">             258.187,80 </w:t>
      </w:r>
      <w:r w:rsidR="000017F5" w:rsidRPr="001435E1">
        <w:rPr>
          <w:szCs w:val="24"/>
        </w:rPr>
        <w:t>eura</w:t>
      </w:r>
    </w:p>
    <w:p w14:paraId="3C149157" w14:textId="6162BFEE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 </w:t>
      </w:r>
      <w:r w:rsidRPr="001435E1">
        <w:rPr>
          <w:szCs w:val="24"/>
        </w:rPr>
        <w:tab/>
      </w:r>
      <w:r w:rsidRPr="001435E1">
        <w:rPr>
          <w:i/>
          <w:iCs/>
          <w:szCs w:val="24"/>
        </w:rPr>
        <w:t>323 - rashodi za usluge</w:t>
      </w:r>
      <w:r w:rsidRPr="001435E1">
        <w:rPr>
          <w:szCs w:val="24"/>
        </w:rPr>
        <w:tab/>
      </w:r>
      <w:r w:rsidRPr="001435E1">
        <w:rPr>
          <w:szCs w:val="24"/>
        </w:rPr>
        <w:tab/>
      </w:r>
      <w:r w:rsidRPr="001435E1">
        <w:rPr>
          <w:szCs w:val="24"/>
        </w:rPr>
        <w:tab/>
        <w:t xml:space="preserve">                      1.150.892,80 </w:t>
      </w:r>
      <w:r w:rsidR="000017F5" w:rsidRPr="001435E1">
        <w:rPr>
          <w:szCs w:val="24"/>
        </w:rPr>
        <w:t>eura</w:t>
      </w:r>
    </w:p>
    <w:p w14:paraId="7C1882CE" w14:textId="11817C9E" w:rsidR="00BC406C" w:rsidRPr="001435E1" w:rsidRDefault="00BC406C" w:rsidP="00BC406C">
      <w:pPr>
        <w:jc w:val="both"/>
        <w:rPr>
          <w:szCs w:val="24"/>
        </w:rPr>
      </w:pPr>
      <w:r w:rsidRPr="001435E1">
        <w:rPr>
          <w:i/>
          <w:iCs/>
          <w:szCs w:val="24"/>
        </w:rPr>
        <w:t xml:space="preserve">          </w:t>
      </w:r>
      <w:r w:rsidRPr="001435E1">
        <w:rPr>
          <w:i/>
          <w:iCs/>
          <w:szCs w:val="24"/>
        </w:rPr>
        <w:tab/>
        <w:t>324 - naknade troškova osobama izvan radnog odnosa</w:t>
      </w:r>
      <w:r w:rsidRPr="001435E1">
        <w:rPr>
          <w:szCs w:val="24"/>
        </w:rPr>
        <w:t xml:space="preserve">               118,20 </w:t>
      </w:r>
      <w:r w:rsidR="000017F5" w:rsidRPr="001435E1">
        <w:rPr>
          <w:szCs w:val="24"/>
        </w:rPr>
        <w:t>eura</w:t>
      </w:r>
    </w:p>
    <w:p w14:paraId="535F0E9F" w14:textId="394BBA01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ab/>
      </w:r>
      <w:r w:rsidRPr="001435E1">
        <w:rPr>
          <w:i/>
          <w:iCs/>
          <w:szCs w:val="24"/>
        </w:rPr>
        <w:t>329 - ostali nespomenuti rashodi poslovanja</w:t>
      </w:r>
      <w:r w:rsidRPr="001435E1">
        <w:rPr>
          <w:i/>
          <w:iCs/>
          <w:szCs w:val="24"/>
        </w:rPr>
        <w:tab/>
      </w:r>
      <w:r w:rsidRPr="001435E1">
        <w:rPr>
          <w:szCs w:val="24"/>
        </w:rPr>
        <w:t xml:space="preserve">             101.510,06 </w:t>
      </w:r>
      <w:r w:rsidR="000017F5" w:rsidRPr="001435E1">
        <w:rPr>
          <w:szCs w:val="24"/>
        </w:rPr>
        <w:t>eura</w:t>
      </w:r>
    </w:p>
    <w:p w14:paraId="013618ED" w14:textId="77777777" w:rsidR="00BC406C" w:rsidRPr="001435E1" w:rsidRDefault="00BC406C" w:rsidP="00F7336B">
      <w:pPr>
        <w:ind w:firstLine="708"/>
        <w:jc w:val="both"/>
        <w:rPr>
          <w:szCs w:val="24"/>
        </w:rPr>
      </w:pPr>
      <w:r w:rsidRPr="001435E1">
        <w:rPr>
          <w:szCs w:val="24"/>
        </w:rPr>
        <w:lastRenderedPageBreak/>
        <w:t xml:space="preserve">Naknade troškova zaposlenima ostvareni su za 28,39 % više u odnosu na prethodno razdoblje, a odnose se na službena putovanja, naknade za prijevoz, stručno usavršavanje zaposlenika i ostale naknade troškova zaposlenima. Rashodi za materijal i energiju ostvareni su za 6,19 % više u odnosu na prethodno razdoblje, a odnose se na uredski materijal, energiju, materijal i dijelove za tekuće i investicijsko održavanje, sitni inventar i slično. Rashodi za usluge ostvareni su za 38,93 % više u odnosu na prethodno razdoblje, a odnose se na usluge telefona, interneta, poštanske usluge, usluge tekućeg i investicijsko održavanja, usluge promidžbe i informiranja, komunalne usluge, zakupnine i najamnine, zdravstvene i veterinarske usluge, intelektualne i računalne usluge. Ostali nespomenuti rashodi poslovanja ostvareni su za 16,81 % više u odnosu na prethodno razdoblje, a odnose se na naknade za rad predstavničkih i izvršnih tijela, premije osiguranja, reprezentaciju, članarine i norme, pristojbe i naknade te ostale nespomenute rashode poslovanja. </w:t>
      </w:r>
    </w:p>
    <w:p w14:paraId="1366FC9D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</w:p>
    <w:p w14:paraId="23C84C6A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 xml:space="preserve">Financijski rashodi </w:t>
      </w:r>
    </w:p>
    <w:p w14:paraId="62C6F78A" w14:textId="0A4B990B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Financijski rashodi ostvareni su u iznosu od 71.603,04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56,90 % više u odnosu na 2024. godinu i manje za 1,24 % od godišnjeg plana, a odnose se na kamate za primljene kredite i zajmove od kreditnih i ostalih financijskih institucija u javnom sektoru i izvan javnog sektora u iznosu 23.747,19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bankarske usluge i usluge platnog prometa u iznosu 7.872,96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zatezne kamate u iznosu 2.724,55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ostale nespomenute financijske rashode u iznosu 37.258,34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</w:t>
      </w:r>
    </w:p>
    <w:p w14:paraId="061357A8" w14:textId="77777777" w:rsidR="00BC406C" w:rsidRPr="001435E1" w:rsidRDefault="00BC406C" w:rsidP="00BC406C">
      <w:pPr>
        <w:jc w:val="both"/>
        <w:rPr>
          <w:szCs w:val="24"/>
        </w:rPr>
      </w:pPr>
    </w:p>
    <w:p w14:paraId="0C172134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 xml:space="preserve">Subvencije </w:t>
      </w:r>
    </w:p>
    <w:p w14:paraId="2F085CD4" w14:textId="5BD51A3F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Subvencije su u 2025. godini ostvarene u iznosu od 16.033,21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46,35 % više u odnosu na prethodnu godinu, te za 42,94 % manje od planiranog. </w:t>
      </w:r>
    </w:p>
    <w:p w14:paraId="6EDDF3C6" w14:textId="7FD635F6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ab/>
      </w:r>
      <w:r w:rsidRPr="001435E1">
        <w:rPr>
          <w:i/>
          <w:iCs/>
          <w:szCs w:val="24"/>
        </w:rPr>
        <w:t>3522 - Subvencije trgovačkim društvima i zadrugama izvan javnog sektora</w:t>
      </w:r>
      <w:r w:rsidRPr="001435E1">
        <w:rPr>
          <w:szCs w:val="24"/>
        </w:rPr>
        <w:t xml:space="preserve"> – ostvareno je 13.510,91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navedene bilježe povećanje za 179,17 % u odnosu na prethodnu godinu.  Navedeni rashodi odnose se na subvencije roditeljima 50% ekonomske cijene vrtića čija su djeca u vrtićima izvan Općine Krapinske Toplice.</w:t>
      </w:r>
    </w:p>
    <w:p w14:paraId="53DDED10" w14:textId="719B2194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 xml:space="preserve">3523 - Subvencije poljoprivrednicima i obrtnicima </w:t>
      </w:r>
      <w:r w:rsidRPr="001435E1">
        <w:rPr>
          <w:szCs w:val="24"/>
        </w:rPr>
        <w:t xml:space="preserve">- ostvarene su u iznosu od 2.522,30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navedeno bilježi smanjenje od 58,76% u odnosu na prethodnu godinu, a obuhvaćaju subvencije za umjetno osjemenjivanje. </w:t>
      </w:r>
    </w:p>
    <w:p w14:paraId="03DC5BA7" w14:textId="77777777" w:rsidR="00BC406C" w:rsidRPr="001435E1" w:rsidRDefault="00BC406C" w:rsidP="00BC406C">
      <w:pPr>
        <w:jc w:val="both"/>
        <w:rPr>
          <w:szCs w:val="24"/>
        </w:rPr>
      </w:pPr>
    </w:p>
    <w:p w14:paraId="2DE2FE9F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Pomoći dane u inozemstvo i unutar općeg proračuna</w:t>
      </w:r>
    </w:p>
    <w:p w14:paraId="63B8E3A7" w14:textId="77777777" w:rsidR="001435E1" w:rsidRPr="001435E1" w:rsidRDefault="001435E1" w:rsidP="00BC406C">
      <w:pPr>
        <w:jc w:val="both"/>
        <w:rPr>
          <w:szCs w:val="24"/>
        </w:rPr>
      </w:pPr>
    </w:p>
    <w:p w14:paraId="086586CD" w14:textId="40ED1E86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Ukupan iznos danih pomoći u 2025. godini je 55.481,25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148,29 % više nego 2024. godine, a od godišnjeg plana manje za 10,27 %.</w:t>
      </w:r>
    </w:p>
    <w:p w14:paraId="7263469A" w14:textId="0C785FAF" w:rsidR="00BC406C" w:rsidRPr="001435E1" w:rsidRDefault="00BC406C" w:rsidP="00BC406C">
      <w:pPr>
        <w:jc w:val="both"/>
        <w:rPr>
          <w:szCs w:val="24"/>
        </w:rPr>
      </w:pPr>
      <w:r w:rsidRPr="001435E1">
        <w:rPr>
          <w:color w:val="FF0000"/>
          <w:szCs w:val="24"/>
        </w:rPr>
        <w:tab/>
      </w:r>
      <w:r w:rsidRPr="001435E1">
        <w:rPr>
          <w:i/>
          <w:iCs/>
          <w:szCs w:val="24"/>
        </w:rPr>
        <w:t>363 - Pomoći drugom proračunu i izvanproračunskim korisnicima</w:t>
      </w:r>
      <w:r w:rsidRPr="001435E1">
        <w:rPr>
          <w:szCs w:val="24"/>
        </w:rPr>
        <w:t xml:space="preserve"> – odnose se na troškove za zajedničkog poljoprivrednog redara, a ostvaren je iznos od 10.948,04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što je za 104,48 % više u odnosu na prethodnu godinu. </w:t>
      </w:r>
    </w:p>
    <w:p w14:paraId="65986AEB" w14:textId="4B061D60" w:rsidR="00BC406C" w:rsidRPr="001435E1" w:rsidRDefault="00BC406C" w:rsidP="00BC406C">
      <w:pPr>
        <w:jc w:val="both"/>
        <w:rPr>
          <w:szCs w:val="24"/>
        </w:rPr>
      </w:pPr>
      <w:r w:rsidRPr="001435E1">
        <w:rPr>
          <w:i/>
          <w:iCs/>
          <w:szCs w:val="24"/>
        </w:rPr>
        <w:tab/>
        <w:t>366 - Pomoći proračunskim korisnicima drugih proračuna</w:t>
      </w:r>
      <w:r w:rsidRPr="001435E1">
        <w:rPr>
          <w:szCs w:val="24"/>
        </w:rPr>
        <w:t xml:space="preserve"> – odnose se na sufinanciranje pomoćnika u nastavi u osnovnoj školi i kapitalnu donaciju OŠ Krapinske Toplice, a ostvaren je iznos od 44.533,21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što je za 162,10 % više u odnosu na prethodnu godinu. </w:t>
      </w:r>
    </w:p>
    <w:p w14:paraId="234AA5A5" w14:textId="77777777" w:rsidR="00BC406C" w:rsidRPr="001435E1" w:rsidRDefault="00BC406C" w:rsidP="00BC406C">
      <w:pPr>
        <w:jc w:val="both"/>
        <w:rPr>
          <w:color w:val="FF0000"/>
          <w:szCs w:val="24"/>
        </w:rPr>
      </w:pPr>
      <w:r w:rsidRPr="001435E1">
        <w:rPr>
          <w:color w:val="FF0000"/>
          <w:szCs w:val="24"/>
        </w:rPr>
        <w:tab/>
      </w:r>
    </w:p>
    <w:p w14:paraId="7504C15F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Naknade građanima i kućanstvima na temelju osiguranja i druge naknade</w:t>
      </w:r>
    </w:p>
    <w:p w14:paraId="61C043A2" w14:textId="470269DD" w:rsidR="00BC406C" w:rsidRPr="001435E1" w:rsidRDefault="00BC406C" w:rsidP="00F7336B">
      <w:pPr>
        <w:jc w:val="both"/>
        <w:rPr>
          <w:szCs w:val="24"/>
        </w:rPr>
      </w:pPr>
      <w:r w:rsidRPr="001435E1">
        <w:rPr>
          <w:szCs w:val="24"/>
        </w:rPr>
        <w:t xml:space="preserve">Rashodi ove skupine ostvareni su ukupnom iznosu od 250.454,50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za 73,11 % više nego prethodne godine i manje od godišnjeg plana za 12,65 %, a obuhvaćaju:</w:t>
      </w:r>
    </w:p>
    <w:p w14:paraId="2B6D54D7" w14:textId="1726D0AE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  <w:r w:rsidRPr="001435E1">
        <w:rPr>
          <w:i/>
          <w:iCs/>
          <w:szCs w:val="24"/>
        </w:rPr>
        <w:t>3721 - Naknade građanima i kućanstvima u novcu</w:t>
      </w:r>
      <w:r w:rsidRPr="001435E1">
        <w:rPr>
          <w:szCs w:val="24"/>
        </w:rPr>
        <w:t xml:space="preserve"> - izvršenje rashoda iznosi 81.368,66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više u odnosu na 2024. godinu za 37,90 % te se odnose na jednokratne pomoći u </w:t>
      </w:r>
      <w:r w:rsidRPr="001435E1">
        <w:rPr>
          <w:szCs w:val="24"/>
        </w:rPr>
        <w:lastRenderedPageBreak/>
        <w:t xml:space="preserve">novcu obiteljima i kućanstvima (17.630,34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stipendije (45.317,70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pomoć za opremu novorođenog djeteta (3.095,00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).</w:t>
      </w:r>
      <w:r w:rsidRPr="001435E1">
        <w:rPr>
          <w:color w:val="FF0000"/>
          <w:szCs w:val="24"/>
        </w:rPr>
        <w:t xml:space="preserve"> </w:t>
      </w:r>
    </w:p>
    <w:p w14:paraId="1C5C9460" w14:textId="3B99E77A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color w:val="FF0000"/>
          <w:szCs w:val="24"/>
        </w:rPr>
        <w:t xml:space="preserve"> </w:t>
      </w:r>
      <w:r w:rsidRPr="001435E1">
        <w:rPr>
          <w:i/>
          <w:iCs/>
          <w:szCs w:val="24"/>
        </w:rPr>
        <w:t>3722 - Naknade građanima i kućanstvima u naravi</w:t>
      </w:r>
      <w:r w:rsidRPr="001435E1">
        <w:rPr>
          <w:szCs w:val="24"/>
        </w:rPr>
        <w:t xml:space="preserve"> - povećanje za 97,36 % u odnosu na 2024. godinu i iznose 169.085,84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odnose se na sufinanciranje cijene prijevoza učenika srednjih škola (27.711,30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troškova nabave udžbenika za osnovnu školu (27.808,16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troškove stanovanja (2.463,58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nabavu prehrambenih artikala za socijalu i umirovljenike (29.598,40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te ostale naknade iz proračuna u naravi (81.504,40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koje se odnose na sufinanciranje odvoza komunalnog otpada za kućanstva. </w:t>
      </w:r>
    </w:p>
    <w:p w14:paraId="26B4D94E" w14:textId="77777777" w:rsidR="00BC406C" w:rsidRPr="001435E1" w:rsidRDefault="00BC406C" w:rsidP="00BC406C">
      <w:pPr>
        <w:jc w:val="both"/>
        <w:rPr>
          <w:szCs w:val="24"/>
        </w:rPr>
      </w:pPr>
    </w:p>
    <w:p w14:paraId="6254A511" w14:textId="77777777" w:rsidR="00BC406C" w:rsidRPr="001435E1" w:rsidRDefault="00BC406C" w:rsidP="00BC406C">
      <w:pPr>
        <w:jc w:val="both"/>
        <w:rPr>
          <w:b/>
          <w:i/>
          <w:iCs/>
          <w:szCs w:val="24"/>
        </w:rPr>
      </w:pPr>
      <w:r w:rsidRPr="001435E1">
        <w:rPr>
          <w:b/>
          <w:i/>
          <w:iCs/>
          <w:szCs w:val="24"/>
        </w:rPr>
        <w:t>Rashodi za donacije, kazne, naknade šteta i kapitalne pomoći</w:t>
      </w:r>
    </w:p>
    <w:p w14:paraId="6DC542D1" w14:textId="77777777" w:rsidR="001435E1" w:rsidRPr="001435E1" w:rsidRDefault="001435E1" w:rsidP="00BC406C">
      <w:pPr>
        <w:jc w:val="both"/>
        <w:rPr>
          <w:szCs w:val="24"/>
        </w:rPr>
      </w:pPr>
    </w:p>
    <w:p w14:paraId="09491804" w14:textId="2EA79328" w:rsidR="00BC406C" w:rsidRPr="001435E1" w:rsidRDefault="00BC406C" w:rsidP="00BC406C">
      <w:pPr>
        <w:jc w:val="both"/>
        <w:rPr>
          <w:szCs w:val="24"/>
        </w:rPr>
      </w:pPr>
      <w:r w:rsidRPr="001435E1">
        <w:rPr>
          <w:szCs w:val="24"/>
        </w:rPr>
        <w:t xml:space="preserve">Navedeni rashodi ostvareni su u iznosu od 541.124,73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te bilježe povećanje za 48,10 % u odnosu na prošlu godinu te 5,32 % manje od planiranog. Rashodi se odnose na:</w:t>
      </w:r>
    </w:p>
    <w:p w14:paraId="10F5F54F" w14:textId="51D5645B" w:rsidR="00BC406C" w:rsidRPr="001435E1" w:rsidRDefault="00BC406C" w:rsidP="00BC406C">
      <w:pPr>
        <w:ind w:firstLine="708"/>
        <w:jc w:val="both"/>
        <w:rPr>
          <w:color w:val="FF0000"/>
          <w:szCs w:val="24"/>
        </w:rPr>
      </w:pPr>
      <w:r w:rsidRPr="001435E1">
        <w:rPr>
          <w:i/>
          <w:iCs/>
          <w:szCs w:val="24"/>
        </w:rPr>
        <w:t>381 - Tekuće donacije u novcu –</w:t>
      </w:r>
      <w:r w:rsidRPr="001435E1">
        <w:rPr>
          <w:szCs w:val="24"/>
        </w:rPr>
        <w:t xml:space="preserve"> ostvareni su rashodi u iznosu od 540.235,49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je 51,64 % više u odnosu na prethodnu godinu, a obuhvaćaju tekuće donacije udrugama i političkim strankama (31.733,51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),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vjerskim zajednicama (5.000,00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lovačkom savezu (800,00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),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sportskoj zajednici (32.000,00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),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donacije humanitarnim organizacijama - Crveni križ (20.000,00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Javne vatrogasne postrojbe (140.493,74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),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sufinanciranje Vatrogasne zajednice Krapinske Toplice (87.999,96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Gorske službe spašavanja (2.000,00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DVD Krapinske Toplice (26.004,07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Turističke zajednice (193.965,04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te Državnog arhiva u Varaždinu (239,17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).</w:t>
      </w:r>
      <w:r w:rsidRPr="001435E1">
        <w:rPr>
          <w:color w:val="FF0000"/>
          <w:szCs w:val="24"/>
        </w:rPr>
        <w:t xml:space="preserve"> </w:t>
      </w:r>
    </w:p>
    <w:p w14:paraId="46D0961D" w14:textId="47D56D67" w:rsidR="00BC406C" w:rsidRPr="001435E1" w:rsidRDefault="00BC406C" w:rsidP="00BC406C">
      <w:pPr>
        <w:ind w:firstLine="708"/>
        <w:jc w:val="both"/>
        <w:rPr>
          <w:szCs w:val="24"/>
        </w:rPr>
      </w:pPr>
      <w:r w:rsidRPr="001435E1">
        <w:rPr>
          <w:i/>
          <w:iCs/>
          <w:szCs w:val="24"/>
        </w:rPr>
        <w:t>383 - Ostale kazne</w:t>
      </w:r>
      <w:r w:rsidRPr="001435E1">
        <w:rPr>
          <w:szCs w:val="24"/>
        </w:rPr>
        <w:t xml:space="preserve"> – ostvareni su rashodi u iznosu od 889,24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isti prethodne godine nisu bili ostvareni. Rashodi za kazne ostvareni su kod proračunskog korisnika Dječji vrtić Maslačak Krapinske Toplice. </w:t>
      </w:r>
    </w:p>
    <w:p w14:paraId="020D703F" w14:textId="77777777" w:rsidR="00BC406C" w:rsidRPr="001435E1" w:rsidRDefault="00BC406C" w:rsidP="00BC406C">
      <w:pPr>
        <w:jc w:val="both"/>
        <w:rPr>
          <w:b/>
          <w:color w:val="FF0000"/>
          <w:szCs w:val="24"/>
        </w:rPr>
      </w:pPr>
    </w:p>
    <w:p w14:paraId="5897D915" w14:textId="77777777" w:rsidR="00BC406C" w:rsidRPr="001435E1" w:rsidRDefault="00BC406C" w:rsidP="00BC406C">
      <w:pPr>
        <w:jc w:val="both"/>
        <w:rPr>
          <w:b/>
          <w:szCs w:val="24"/>
        </w:rPr>
      </w:pPr>
      <w:r w:rsidRPr="001435E1">
        <w:rPr>
          <w:b/>
          <w:szCs w:val="24"/>
        </w:rPr>
        <w:t>RASHODI ZA NABAVU NEFINANCIJSKE IMOVINE</w:t>
      </w:r>
    </w:p>
    <w:p w14:paraId="19047870" w14:textId="77777777" w:rsidR="001435E1" w:rsidRPr="001435E1" w:rsidRDefault="001435E1" w:rsidP="001435E1">
      <w:pPr>
        <w:jc w:val="both"/>
        <w:rPr>
          <w:szCs w:val="24"/>
        </w:rPr>
      </w:pPr>
    </w:p>
    <w:p w14:paraId="628A1902" w14:textId="43A12B3C" w:rsidR="00BC406C" w:rsidRPr="001435E1" w:rsidRDefault="00BC406C" w:rsidP="001435E1">
      <w:pPr>
        <w:jc w:val="both"/>
        <w:rPr>
          <w:color w:val="EE0000"/>
          <w:szCs w:val="24"/>
        </w:rPr>
      </w:pPr>
      <w:r w:rsidRPr="001435E1">
        <w:rPr>
          <w:szCs w:val="24"/>
        </w:rPr>
        <w:t xml:space="preserve">Realizirani su u ukupnom iznosu od 2.559.208,29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odnosno 88,92 % više nego u 2024. godini, a 76,74 % manje od paniranog. Rashodi su ostvareni temeljem plana proračuna i programa građenja i opremanja komunalne infrastrukture, a obrazložit će se u nastavku kroz obrazloženje izvršenja programa.</w:t>
      </w:r>
    </w:p>
    <w:p w14:paraId="66EE3E7C" w14:textId="77777777" w:rsidR="00BC406C" w:rsidRPr="001435E1" w:rsidRDefault="00BC406C" w:rsidP="00BC406C">
      <w:pPr>
        <w:jc w:val="both"/>
        <w:rPr>
          <w:b/>
          <w:szCs w:val="24"/>
        </w:rPr>
      </w:pPr>
    </w:p>
    <w:p w14:paraId="1BC48076" w14:textId="77777777" w:rsidR="00BC406C" w:rsidRPr="001435E1" w:rsidRDefault="00BC406C" w:rsidP="00F7336B">
      <w:pPr>
        <w:jc w:val="both"/>
        <w:rPr>
          <w:b/>
          <w:szCs w:val="24"/>
        </w:rPr>
      </w:pPr>
      <w:r w:rsidRPr="001435E1">
        <w:rPr>
          <w:b/>
          <w:szCs w:val="24"/>
        </w:rPr>
        <w:t>OBRAZLOŽENJE POSEBNOG DIJELA IZVJEŠTAJA O IZVRŠENJU PRORAČUNA</w:t>
      </w:r>
    </w:p>
    <w:p w14:paraId="4F22F73B" w14:textId="77777777" w:rsidR="001435E1" w:rsidRPr="001435E1" w:rsidRDefault="001435E1" w:rsidP="001435E1">
      <w:pPr>
        <w:jc w:val="both"/>
        <w:rPr>
          <w:bCs/>
          <w:szCs w:val="24"/>
        </w:rPr>
      </w:pPr>
    </w:p>
    <w:p w14:paraId="57EB1677" w14:textId="5B8D19C8" w:rsidR="00BC406C" w:rsidRPr="001435E1" w:rsidRDefault="00BC406C" w:rsidP="001435E1">
      <w:pPr>
        <w:jc w:val="both"/>
        <w:rPr>
          <w:szCs w:val="24"/>
        </w:rPr>
      </w:pPr>
      <w:r w:rsidRPr="001435E1">
        <w:rPr>
          <w:bCs/>
          <w:szCs w:val="24"/>
        </w:rPr>
        <w:t xml:space="preserve">U obrazloženju posebnog dijela izvještaja o izvršenju Proračuna iskazan7o je izvršenje programa, sa 31.12.2025.g. kao i Odluka o preraspodjeli koju je donijela načelnica. </w:t>
      </w:r>
      <w:r w:rsidRPr="001435E1">
        <w:rPr>
          <w:szCs w:val="24"/>
        </w:rPr>
        <w:t>Preraspodijeljena su sredstva planirana u 1. Izmjenama i dopunama Proračuna Općine Krapinske Toplice za 2025. godinu („Službeni glasnik Krapinsko-zagorske županije“, broj 50/25).</w:t>
      </w:r>
    </w:p>
    <w:p w14:paraId="65A8EFA0" w14:textId="77777777" w:rsidR="001435E1" w:rsidRPr="001435E1" w:rsidRDefault="001435E1" w:rsidP="001435E1">
      <w:pPr>
        <w:jc w:val="both"/>
        <w:rPr>
          <w:szCs w:val="24"/>
        </w:rPr>
      </w:pPr>
    </w:p>
    <w:p w14:paraId="07FAEF6F" w14:textId="0B7369A7" w:rsidR="00BC406C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Sredstva su se preraspodijelila u Posebnom dijelu 1. Izmjena i dopuna Proračuna Općine Krapinske Toplice za 2025. godinu kako slijedi: </w:t>
      </w:r>
    </w:p>
    <w:p w14:paraId="2516C2EE" w14:textId="77777777" w:rsidR="001435E1" w:rsidRDefault="001435E1" w:rsidP="001435E1">
      <w:pPr>
        <w:jc w:val="both"/>
        <w:rPr>
          <w:szCs w:val="24"/>
        </w:rPr>
      </w:pPr>
    </w:p>
    <w:p w14:paraId="5788973E" w14:textId="77777777" w:rsidR="001435E1" w:rsidRDefault="001435E1" w:rsidP="001435E1">
      <w:pPr>
        <w:jc w:val="both"/>
        <w:rPr>
          <w:szCs w:val="24"/>
        </w:rPr>
      </w:pPr>
    </w:p>
    <w:p w14:paraId="75CFE91C" w14:textId="77777777" w:rsidR="001435E1" w:rsidRDefault="001435E1" w:rsidP="001435E1">
      <w:pPr>
        <w:jc w:val="both"/>
        <w:rPr>
          <w:szCs w:val="24"/>
        </w:rPr>
      </w:pPr>
    </w:p>
    <w:p w14:paraId="53349931" w14:textId="77777777" w:rsidR="001435E1" w:rsidRDefault="001435E1" w:rsidP="001435E1">
      <w:pPr>
        <w:jc w:val="both"/>
        <w:rPr>
          <w:szCs w:val="24"/>
        </w:rPr>
      </w:pPr>
    </w:p>
    <w:p w14:paraId="41B1AB5C" w14:textId="77777777" w:rsidR="001435E1" w:rsidRPr="001435E1" w:rsidRDefault="001435E1" w:rsidP="001435E1">
      <w:pPr>
        <w:jc w:val="both"/>
        <w:rPr>
          <w:szCs w:val="24"/>
        </w:rPr>
      </w:pPr>
    </w:p>
    <w:p w14:paraId="40C0274D" w14:textId="77777777" w:rsidR="00BC406C" w:rsidRPr="001435E1" w:rsidRDefault="00BC406C" w:rsidP="00BC406C">
      <w:pPr>
        <w:ind w:firstLine="284"/>
        <w:jc w:val="both"/>
        <w:rPr>
          <w:color w:val="FF0000"/>
          <w:szCs w:val="24"/>
        </w:rPr>
      </w:pPr>
    </w:p>
    <w:tbl>
      <w:tblPr>
        <w:tblW w:w="10910" w:type="dxa"/>
        <w:jc w:val="center"/>
        <w:tblLook w:val="04A0" w:firstRow="1" w:lastRow="0" w:firstColumn="1" w:lastColumn="0" w:noHBand="0" w:noVBand="1"/>
      </w:tblPr>
      <w:tblGrid>
        <w:gridCol w:w="1150"/>
        <w:gridCol w:w="1113"/>
        <w:gridCol w:w="567"/>
        <w:gridCol w:w="3828"/>
        <w:gridCol w:w="1559"/>
        <w:gridCol w:w="1417"/>
        <w:gridCol w:w="1366"/>
      </w:tblGrid>
      <w:tr w:rsidR="00BC406C" w:rsidRPr="001435E1" w14:paraId="0D910CAA" w14:textId="77777777" w:rsidTr="000017F5">
        <w:trPr>
          <w:trHeight w:val="20"/>
          <w:tblHeader/>
          <w:jc w:val="center"/>
        </w:trPr>
        <w:tc>
          <w:tcPr>
            <w:tcW w:w="665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6B094BC" w14:textId="77777777" w:rsidR="00BC406C" w:rsidRPr="001435E1" w:rsidRDefault="00BC406C" w:rsidP="00112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lastRenderedPageBreak/>
              <w:t>Naziv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F46A904" w14:textId="77777777" w:rsidR="00BC406C" w:rsidRPr="001435E1" w:rsidRDefault="00BC406C" w:rsidP="00112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Tekući plan 2025.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4CEEB8D" w14:textId="77777777" w:rsidR="00BC406C" w:rsidRPr="001435E1" w:rsidRDefault="00BC406C" w:rsidP="00112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Povećanje/ smanjenje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12F45AF" w14:textId="77777777" w:rsidR="00BC406C" w:rsidRPr="001435E1" w:rsidRDefault="00BC406C" w:rsidP="001122C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Novi plan 2025.</w:t>
            </w:r>
          </w:p>
        </w:tc>
      </w:tr>
      <w:tr w:rsidR="00BC406C" w:rsidRPr="001435E1" w14:paraId="111F3093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109F912E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RAZDJEL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54915243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60DAD8A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5C77D85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PREDSTAVNIČKA I IZVRŠNA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2730DB" w14:textId="77777777" w:rsidR="00BC406C" w:rsidRPr="001435E1" w:rsidRDefault="00BC406C" w:rsidP="001122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163.791,88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78A1DB9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8A305B8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165.072,17</w:t>
            </w:r>
          </w:p>
        </w:tc>
      </w:tr>
      <w:tr w:rsidR="00BC406C" w:rsidRPr="001435E1" w14:paraId="1ADEA6AE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4972AE0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654CB68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E0C54AF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A1999BD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OPĆINSKO VIJEĆE I NAČELNICA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32BAB2B" w14:textId="77777777" w:rsidR="00BC406C" w:rsidRPr="001435E1" w:rsidRDefault="00BC406C" w:rsidP="001122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163.791,88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D5283B7" w14:textId="77777777" w:rsidR="00BC406C" w:rsidRPr="001435E1" w:rsidRDefault="00BC406C" w:rsidP="001122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193B6F6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165.072,17</w:t>
            </w:r>
          </w:p>
        </w:tc>
      </w:tr>
      <w:tr w:rsidR="00BC406C" w:rsidRPr="001435E1" w14:paraId="71E538B5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6AAD143C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</w:tcPr>
          <w:p w14:paraId="0CEE41E4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1000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B627BD4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C355019" w14:textId="77777777" w:rsidR="00BC406C" w:rsidRPr="001435E1" w:rsidRDefault="00BC406C" w:rsidP="001122C7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Financiranje rada općinskog vijeća, načelnika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44ED85A" w14:textId="77777777" w:rsidR="00BC406C" w:rsidRPr="001435E1" w:rsidRDefault="00BC406C" w:rsidP="001122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160.791,88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FCEC58A" w14:textId="77777777" w:rsidR="00BC406C" w:rsidRPr="001435E1" w:rsidRDefault="00BC406C" w:rsidP="001122C7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A7D3EF6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162.072,17</w:t>
            </w:r>
          </w:p>
        </w:tc>
      </w:tr>
      <w:tr w:rsidR="00BC406C" w:rsidRPr="001435E1" w14:paraId="608DE57A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1BD73B0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5C0BEB32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A100004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04AC936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0160A9C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Naknade članovima predstavničkih i izvršnih tijela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8A1F563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4FB454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4C5BA6D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6.280,29</w:t>
            </w:r>
          </w:p>
        </w:tc>
      </w:tr>
      <w:tr w:rsidR="00BC406C" w:rsidRPr="001435E1" w14:paraId="4D67DEDE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3EA95927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</w:tcPr>
          <w:p w14:paraId="01CE1339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C43451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717F3A0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CEA16B1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5.000,00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B756EC6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+1.280,29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3278009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6.280,29</w:t>
            </w:r>
          </w:p>
        </w:tc>
      </w:tr>
      <w:tr w:rsidR="00BC406C" w:rsidRPr="001435E1" w14:paraId="2319EFE4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24DDBF65" w14:textId="77777777" w:rsidR="00BC406C" w:rsidRPr="001435E1" w:rsidRDefault="00BC406C" w:rsidP="001122C7">
            <w:pPr>
              <w:rPr>
                <w:b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RAZDJEL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6A0449E0" w14:textId="77777777" w:rsidR="00BC406C" w:rsidRPr="001435E1" w:rsidRDefault="00BC406C" w:rsidP="001122C7">
            <w:pPr>
              <w:rPr>
                <w:b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4192FB74" w14:textId="77777777" w:rsidR="00BC406C" w:rsidRPr="001435E1" w:rsidRDefault="00BC406C" w:rsidP="001122C7">
            <w:pPr>
              <w:rPr>
                <w:b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C56C41" w14:textId="77777777" w:rsidR="00BC406C" w:rsidRPr="001435E1" w:rsidRDefault="00BC406C" w:rsidP="001122C7">
            <w:pPr>
              <w:rPr>
                <w:b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OPĆINSKA UPRAVA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6D6CEA8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15.539.721,54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9C2E316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-1.280,29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8EBDF2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15.538.441,25</w:t>
            </w:r>
          </w:p>
        </w:tc>
      </w:tr>
      <w:tr w:rsidR="00BC406C" w:rsidRPr="001435E1" w14:paraId="7EE64254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3514C4C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</w:tcPr>
          <w:p w14:paraId="78CE2D61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8AFE4B1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E516EB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JEDINSTVENI UPRAVNI ODJEL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5AD0D30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777.244,54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ADFBFC7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-37.057,83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4CD3139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740.186,71</w:t>
            </w:r>
          </w:p>
        </w:tc>
      </w:tr>
      <w:tr w:rsidR="00BC406C" w:rsidRPr="001435E1" w14:paraId="3BB798BA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28B7CA3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C395741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 xml:space="preserve"> 1003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D50A84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2E0142BF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Funkcioniranje rada JUO-a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16A563C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623.338,54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77ADBCA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-37.057,83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F4EC3BA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586.280,71</w:t>
            </w:r>
          </w:p>
        </w:tc>
      </w:tr>
      <w:tr w:rsidR="00BC406C" w:rsidRPr="001435E1" w14:paraId="703D2BDD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6AEF9D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A771DEB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6C3AFF1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4175C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Plaće zaposlenih i naknade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507391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399.360,00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6E4975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-28.674,55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D04E7CA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370.685,45</w:t>
            </w:r>
          </w:p>
        </w:tc>
      </w:tr>
      <w:tr w:rsidR="00BC406C" w:rsidRPr="001435E1" w14:paraId="7849588E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8A44F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D54619D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3181B4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499CAD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Rashodi za zaposlene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20C5ADB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364.160,00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0684BC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-28.674,55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1EFFD5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335.485,45</w:t>
            </w:r>
          </w:p>
        </w:tc>
      </w:tr>
      <w:tr w:rsidR="00BC406C" w:rsidRPr="001435E1" w14:paraId="1ED9B40E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D7390C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BB445C5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A100002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DE56A2F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278230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Rashodi za materijal, energiju i usluge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7BA419C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162.060,00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F73ACCD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+4.710,95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3B917F9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166.770,95</w:t>
            </w:r>
          </w:p>
        </w:tc>
      </w:tr>
      <w:tr w:rsidR="00BC406C" w:rsidRPr="001435E1" w14:paraId="0481F1E2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DD35A9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604D30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7E1E80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64FC33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 xml:space="preserve">Materijalni rashodi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2C195B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53.809,38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D57009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+4.710,95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537B0AF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58.520,33</w:t>
            </w:r>
          </w:p>
        </w:tc>
      </w:tr>
      <w:tr w:rsidR="00BC406C" w:rsidRPr="001435E1" w14:paraId="37A04D8C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8292972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2E27B2B0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A100003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FECD39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113E1E5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Ostali troškovi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2CDCE09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51.418,54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C65D973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-13.094,23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A541B18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38.324,31</w:t>
            </w:r>
          </w:p>
        </w:tc>
      </w:tr>
      <w:tr w:rsidR="00BC406C" w:rsidRPr="001435E1" w14:paraId="7A379736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CBC7EE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C1C7A8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155BD5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70F87D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 xml:space="preserve">Materijalni rashodi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F97B80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51.418,54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0397CB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-13.094,23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E32CB9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38.324,31</w:t>
            </w:r>
          </w:p>
        </w:tc>
      </w:tr>
      <w:tr w:rsidR="00BC406C" w:rsidRPr="001435E1" w14:paraId="38C8C34B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41B0E2EF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9FECF74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7F696CCE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0A80089C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DRUŠTVENA DJELATNOST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CD70031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4.124.729,49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F2F487F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+24.305,61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23FCEACF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4.149.035,10</w:t>
            </w:r>
          </w:p>
        </w:tc>
      </w:tr>
      <w:tr w:rsidR="00BC406C" w:rsidRPr="001435E1" w14:paraId="4CAA5E0D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08F8E1A7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EF56922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1008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7CF104C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1DB1105F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Osnovno i srednjoškolsko obrazovanje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2CCDE168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170.838,16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714D24E6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78D8EC1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163.185,39</w:t>
            </w:r>
          </w:p>
        </w:tc>
      </w:tr>
      <w:tr w:rsidR="00BC406C" w:rsidRPr="001435E1" w14:paraId="10C19B38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EE6EDB1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C397864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A100002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3CC6D0C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801B3B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Stipendiranje učenika i studenata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1A19746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F354766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A00EE44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52.347,23</w:t>
            </w:r>
          </w:p>
        </w:tc>
      </w:tr>
      <w:tr w:rsidR="00BC406C" w:rsidRPr="001435E1" w14:paraId="7E90A69A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C7833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4C39F5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58488A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3BC7C" w14:textId="77777777" w:rsidR="00BC406C" w:rsidRPr="001435E1" w:rsidRDefault="00BC406C" w:rsidP="001122C7">
            <w:pPr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Naknade građanima i kućanstvima na temelju osiguranja i drug.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C2BF88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60.000,00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3AA01F" w14:textId="77777777" w:rsidR="00BC406C" w:rsidRPr="001435E1" w:rsidRDefault="00BC406C" w:rsidP="001122C7">
            <w:pPr>
              <w:jc w:val="right"/>
              <w:rPr>
                <w:color w:val="00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-7.652,77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31D8553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52.347,23</w:t>
            </w:r>
          </w:p>
        </w:tc>
      </w:tr>
      <w:tr w:rsidR="00BC406C" w:rsidRPr="001435E1" w14:paraId="6CB680ED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E545FE7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55EFE16E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1009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EA821DC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27DA26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Socijalna skrb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6AE8CCED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173.400,00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000A9A3C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center"/>
          </w:tcPr>
          <w:p w14:paraId="31CBA645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205.358,38</w:t>
            </w:r>
          </w:p>
        </w:tc>
      </w:tr>
      <w:tr w:rsidR="00BC406C" w:rsidRPr="001435E1" w14:paraId="68924107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07D0619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75FCC9E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1399394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DF67DC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Socijalni program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0DA04DA0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9CE996A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5E04A60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112.958,38</w:t>
            </w:r>
          </w:p>
        </w:tc>
      </w:tr>
      <w:tr w:rsidR="00BC406C" w:rsidRPr="001435E1" w14:paraId="6AD48416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D5A8EC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BE377C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4634A0A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37 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C521B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 xml:space="preserve">Naknade građanima i kućanstvima na temelju osiguranja i drug.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9867B92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81.000,00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3F7EDD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color w:val="000000"/>
                <w:sz w:val="20"/>
                <w:szCs w:val="20"/>
              </w:rPr>
              <w:t>+31.958,38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F29895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112.958,38</w:t>
            </w:r>
          </w:p>
        </w:tc>
      </w:tr>
      <w:tr w:rsidR="00BC406C" w:rsidRPr="001435E1" w14:paraId="1F4BB01B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5DC38D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1C7DDC96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38434CB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1EA2278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STAMBENE I KOMUNALNE DJELATNOSTI PROSTORNOG UREĐENJA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E391D74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9.740.937,14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602BA608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058D7845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9.736.226,19</w:t>
            </w:r>
          </w:p>
        </w:tc>
      </w:tr>
      <w:tr w:rsidR="00BC406C" w:rsidRPr="001435E1" w14:paraId="7EC2BF3F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5AFC8C3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33B5A93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1011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B29B504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6A1234F7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Održavanje komunalne infrastrukture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786D1C1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914.933,50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A29B3C6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CE2AAE3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910.222,55</w:t>
            </w:r>
          </w:p>
        </w:tc>
      </w:tr>
      <w:tr w:rsidR="00BC406C" w:rsidRPr="001435E1" w14:paraId="57113057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02FCC9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4C8D50A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A100007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A190BC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3A6DAB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Sufinanciranje komunalne infrastrukture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88DE5DB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36B7C6E5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43560BD8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45.289,05</w:t>
            </w:r>
          </w:p>
        </w:tc>
      </w:tr>
      <w:tr w:rsidR="00BC406C" w:rsidRPr="001435E1" w14:paraId="2840B9E9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784F66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8AD512" w14:textId="77777777" w:rsidR="00BC406C" w:rsidRPr="001435E1" w:rsidRDefault="00BC406C" w:rsidP="001122C7">
            <w:pPr>
              <w:rPr>
                <w:color w:val="EE0000"/>
                <w:sz w:val="20"/>
                <w:szCs w:val="20"/>
              </w:rPr>
            </w:pPr>
            <w:r w:rsidRPr="001435E1">
              <w:rPr>
                <w:color w:val="EE0000"/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1CE54A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32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01E1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Materijalni rashodi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675DED7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50.000,00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2F2D099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-4.710,95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8394609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45.289,05</w:t>
            </w:r>
          </w:p>
        </w:tc>
      </w:tr>
      <w:tr w:rsidR="00BC406C" w:rsidRPr="001435E1" w14:paraId="3765FDB0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628F60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GLAVA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C73A1AA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7B0DF442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16091C5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PRORUPOŽARNA ZAŠTITA, GOSPODARSTVO, TURIZAM I POLJOPRIVREDA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50C50DE7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449.982,16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32B340DE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</w:tcPr>
          <w:p w14:paraId="21CC5858" w14:textId="77777777" w:rsidR="00BC406C" w:rsidRPr="001435E1" w:rsidRDefault="00BC406C" w:rsidP="001122C7">
            <w:pPr>
              <w:jc w:val="right"/>
              <w:rPr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466.165,04</w:t>
            </w:r>
          </w:p>
        </w:tc>
      </w:tr>
      <w:tr w:rsidR="00BC406C" w:rsidRPr="001435E1" w14:paraId="502CA906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EC21AFC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Program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57920B6A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1015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18CCC17E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</w:tcPr>
          <w:p w14:paraId="0227CC67" w14:textId="77777777" w:rsidR="00BC406C" w:rsidRPr="001435E1" w:rsidRDefault="00BC406C" w:rsidP="001122C7">
            <w:pPr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Poticanje razvoja turizma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BD945C9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69571CF7" w14:textId="77777777" w:rsidR="00BC406C" w:rsidRPr="001435E1" w:rsidRDefault="00BC406C" w:rsidP="001122C7">
            <w:pPr>
              <w:jc w:val="right"/>
              <w:rPr>
                <w:b/>
                <w:bCs/>
                <w:color w:val="EE0000"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</w:tcPr>
          <w:p w14:paraId="4DFF249E" w14:textId="77777777" w:rsidR="00BC406C" w:rsidRPr="001435E1" w:rsidRDefault="00BC406C" w:rsidP="001122C7">
            <w:pPr>
              <w:jc w:val="right"/>
              <w:rPr>
                <w:b/>
                <w:bCs/>
                <w:sz w:val="20"/>
                <w:szCs w:val="20"/>
              </w:rPr>
            </w:pPr>
            <w:r w:rsidRPr="001435E1">
              <w:rPr>
                <w:b/>
                <w:bCs/>
                <w:sz w:val="20"/>
                <w:szCs w:val="20"/>
              </w:rPr>
              <w:t>193.965,04</w:t>
            </w:r>
          </w:p>
        </w:tc>
      </w:tr>
      <w:tr w:rsidR="00BC406C" w:rsidRPr="001435E1" w14:paraId="5E5A58DD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5C5D2D09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Aktivnost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D9594A6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A100001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749119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EF6266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Prijenos sredstava za turističku zajednicu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29E8F56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7EDBD7E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768B7026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193.965,04</w:t>
            </w:r>
          </w:p>
        </w:tc>
      </w:tr>
      <w:tr w:rsidR="00BC406C" w:rsidRPr="001435E1" w14:paraId="07104159" w14:textId="77777777" w:rsidTr="000017F5">
        <w:trPr>
          <w:trHeight w:val="20"/>
          <w:jc w:val="center"/>
        </w:trPr>
        <w:tc>
          <w:tcPr>
            <w:tcW w:w="11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B100840" w14:textId="77777777" w:rsidR="00BC406C" w:rsidRPr="001435E1" w:rsidRDefault="00BC406C" w:rsidP="001122C7">
            <w:pPr>
              <w:rPr>
                <w:sz w:val="20"/>
                <w:szCs w:val="20"/>
              </w:rPr>
            </w:pP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1963A7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610E6CC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38</w:t>
            </w:r>
          </w:p>
        </w:tc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72CD84" w14:textId="77777777" w:rsidR="00BC406C" w:rsidRPr="001435E1" w:rsidRDefault="00BC406C" w:rsidP="001122C7">
            <w:pPr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Rashodi za donacije, kazne, naknade šteta i kapitalne pomoći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C431DA4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177.782,16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D4EA80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+16.182,88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352D1C" w14:textId="77777777" w:rsidR="00BC406C" w:rsidRPr="001435E1" w:rsidRDefault="00BC406C" w:rsidP="001122C7">
            <w:pPr>
              <w:jc w:val="right"/>
              <w:rPr>
                <w:sz w:val="20"/>
                <w:szCs w:val="20"/>
              </w:rPr>
            </w:pPr>
            <w:r w:rsidRPr="001435E1">
              <w:rPr>
                <w:sz w:val="20"/>
                <w:szCs w:val="20"/>
              </w:rPr>
              <w:t>193.965,04</w:t>
            </w:r>
          </w:p>
        </w:tc>
      </w:tr>
    </w:tbl>
    <w:p w14:paraId="4E4811DF" w14:textId="77777777" w:rsidR="001435E1" w:rsidRPr="001435E1" w:rsidRDefault="001435E1" w:rsidP="001435E1">
      <w:pPr>
        <w:jc w:val="both"/>
        <w:rPr>
          <w:bCs/>
          <w:szCs w:val="24"/>
        </w:rPr>
      </w:pPr>
    </w:p>
    <w:p w14:paraId="0BFD6C25" w14:textId="1CFDC3AA" w:rsidR="00BC406C" w:rsidRPr="001435E1" w:rsidRDefault="00BC406C" w:rsidP="001435E1">
      <w:pPr>
        <w:jc w:val="both"/>
        <w:rPr>
          <w:bCs/>
          <w:szCs w:val="24"/>
        </w:rPr>
      </w:pPr>
      <w:r w:rsidRPr="001435E1">
        <w:rPr>
          <w:bCs/>
          <w:szCs w:val="24"/>
        </w:rPr>
        <w:t>U nastavku slijedi Obrazloženje II. Posebnog dijela izvršenja Proračuna za 2025. g. prema Programima.</w:t>
      </w:r>
    </w:p>
    <w:p w14:paraId="4B627B86" w14:textId="77777777" w:rsidR="00BC406C" w:rsidRPr="001435E1" w:rsidRDefault="00BC406C" w:rsidP="00BC406C">
      <w:pPr>
        <w:jc w:val="both"/>
        <w:rPr>
          <w:bCs/>
          <w:szCs w:val="24"/>
        </w:rPr>
      </w:pPr>
    </w:p>
    <w:p w14:paraId="142A8782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1000 Financiranje rada općinskog vijeća, načelnika</w:t>
      </w:r>
    </w:p>
    <w:p w14:paraId="32537416" w14:textId="77777777" w:rsidR="001435E1" w:rsidRPr="001435E1" w:rsidRDefault="001435E1" w:rsidP="001435E1">
      <w:pPr>
        <w:jc w:val="both"/>
        <w:rPr>
          <w:szCs w:val="24"/>
        </w:rPr>
      </w:pPr>
    </w:p>
    <w:p w14:paraId="3E9D4551" w14:textId="3DE26BEF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162.072,17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155.957,69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odnosno u iznosu od 99,23 % od planiranog, a isto se odnosi na plaće i naknade načelnika (71.545,93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 i članova predstavničkih i izvršnih tijela (6.280,29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ostale troškove (59.169,59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koji obuhvaćaju troškove službenih putovanja, stručno usavršavanje, usluge promidžbe i informiranja te reprezentacije. Navedeni program sadrži i rashode za lokalne izbore (18.961,88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koji su održani u svibnju 2025. godine. </w:t>
      </w:r>
    </w:p>
    <w:p w14:paraId="32790C05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68CEDC41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 xml:space="preserve">PROGRAM 1001 </w:t>
      </w:r>
      <w:r w:rsidRPr="001435E1">
        <w:rPr>
          <w:b/>
          <w:szCs w:val="24"/>
        </w:rPr>
        <w:t>Financiranje rada političkih stranaka</w:t>
      </w:r>
      <w:r w:rsidRPr="001435E1">
        <w:rPr>
          <w:b/>
          <w:bCs/>
          <w:szCs w:val="24"/>
        </w:rPr>
        <w:t xml:space="preserve"> </w:t>
      </w:r>
    </w:p>
    <w:p w14:paraId="7EAD04D6" w14:textId="77777777" w:rsidR="001435E1" w:rsidRPr="001435E1" w:rsidRDefault="001435E1" w:rsidP="001435E1">
      <w:pPr>
        <w:jc w:val="both"/>
        <w:rPr>
          <w:szCs w:val="24"/>
        </w:rPr>
      </w:pPr>
    </w:p>
    <w:p w14:paraId="62E48B8B" w14:textId="469935AD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lastRenderedPageBreak/>
        <w:t xml:space="preserve">Planirani su rashodi u iznosu od 3.000,00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2.733,52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91,12 % planiranog, a sredstva su utrošena za redovito financiranje političkih stranaka koje imaju člana u Općinskom vijeću.</w:t>
      </w:r>
    </w:p>
    <w:p w14:paraId="74CA3CD8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0D8D1326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 xml:space="preserve">PROGRAM 1003 </w:t>
      </w:r>
      <w:r w:rsidRPr="001435E1">
        <w:rPr>
          <w:b/>
          <w:szCs w:val="24"/>
        </w:rPr>
        <w:t>Funkcioniranje rada JUO-a</w:t>
      </w:r>
    </w:p>
    <w:p w14:paraId="5838CE37" w14:textId="77777777" w:rsidR="001435E1" w:rsidRPr="001435E1" w:rsidRDefault="001435E1" w:rsidP="001435E1">
      <w:pPr>
        <w:jc w:val="both"/>
        <w:rPr>
          <w:szCs w:val="24"/>
        </w:rPr>
      </w:pPr>
    </w:p>
    <w:p w14:paraId="782442D6" w14:textId="4E9F8186" w:rsidR="00BC406C" w:rsidRPr="001435E1" w:rsidRDefault="00BC406C" w:rsidP="001435E1">
      <w:pPr>
        <w:jc w:val="both"/>
        <w:rPr>
          <w:bCs/>
          <w:szCs w:val="24"/>
        </w:rPr>
      </w:pPr>
      <w:r w:rsidRPr="001435E1">
        <w:rPr>
          <w:szCs w:val="24"/>
        </w:rPr>
        <w:t xml:space="preserve">Planirani su rashodi u iznosu od 586.280,71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552.382,10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94,22 % planiranog. Financijska sredstva su utrošena za p</w:t>
      </w:r>
      <w:r w:rsidRPr="001435E1">
        <w:rPr>
          <w:bCs/>
          <w:szCs w:val="24"/>
        </w:rPr>
        <w:t xml:space="preserve">laće zaposlenih i naknade (358.917,06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rashode za materijal, energiju i usluge (148.568,54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ostale troškove (38.324,31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 te rashode za nabavu proizvedene dugotrajne imovine (6.572,19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).  </w:t>
      </w:r>
    </w:p>
    <w:p w14:paraId="22250820" w14:textId="77777777" w:rsidR="00BC406C" w:rsidRPr="001435E1" w:rsidRDefault="00BC406C" w:rsidP="00BC406C">
      <w:pPr>
        <w:jc w:val="both"/>
        <w:rPr>
          <w:bCs/>
          <w:color w:val="FF0000"/>
          <w:szCs w:val="24"/>
        </w:rPr>
      </w:pPr>
    </w:p>
    <w:p w14:paraId="01B57B30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 xml:space="preserve">PROGRAM 1005 </w:t>
      </w:r>
      <w:r w:rsidRPr="001435E1">
        <w:rPr>
          <w:b/>
          <w:szCs w:val="24"/>
        </w:rPr>
        <w:t>Sredstva za rad knjižnice</w:t>
      </w:r>
    </w:p>
    <w:p w14:paraId="7BCF6D5C" w14:textId="77777777" w:rsidR="001435E1" w:rsidRPr="001435E1" w:rsidRDefault="001435E1" w:rsidP="001435E1">
      <w:pPr>
        <w:jc w:val="both"/>
        <w:rPr>
          <w:szCs w:val="24"/>
        </w:rPr>
      </w:pPr>
    </w:p>
    <w:p w14:paraId="2A437F76" w14:textId="164BFA56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166.703,21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118.659,11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71,18 % planiranog, a financijska sredstva utrošena su za redovnu djelatnost knjižnice (98.881,70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nabavu nefinancijske imovine (19.777,41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</w:t>
      </w:r>
    </w:p>
    <w:p w14:paraId="7A7D8CFC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3D969C74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1006 Predškolski odgoj</w:t>
      </w:r>
    </w:p>
    <w:p w14:paraId="1A534291" w14:textId="77777777" w:rsidR="001435E1" w:rsidRPr="001435E1" w:rsidRDefault="001435E1" w:rsidP="001435E1">
      <w:pPr>
        <w:jc w:val="both"/>
        <w:rPr>
          <w:szCs w:val="24"/>
        </w:rPr>
      </w:pPr>
    </w:p>
    <w:p w14:paraId="55FCE030" w14:textId="5FA3647F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1.209.439,18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1.219.517,79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100,83 % planiranog, a financijska sredstva utrošena su za redovnu djelatnost Dječjeg vrtića Maslačak (1.207.024,67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sufinanciranje djece u vrtićima izvan Općine (13.510,91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program </w:t>
      </w:r>
      <w:proofErr w:type="spellStart"/>
      <w:r w:rsidRPr="001435E1">
        <w:rPr>
          <w:szCs w:val="24"/>
        </w:rPr>
        <w:t>predškole</w:t>
      </w:r>
      <w:proofErr w:type="spellEnd"/>
      <w:r w:rsidRPr="001435E1">
        <w:rPr>
          <w:szCs w:val="24"/>
        </w:rPr>
        <w:t xml:space="preserve"> (4.266,50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</w:t>
      </w:r>
    </w:p>
    <w:p w14:paraId="6131674E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3F54FB52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 xml:space="preserve">PROGRAM 1007 </w:t>
      </w:r>
      <w:r w:rsidRPr="001435E1">
        <w:rPr>
          <w:b/>
          <w:szCs w:val="24"/>
        </w:rPr>
        <w:t>Izgradnja dječjeg vrtića Maslačak</w:t>
      </w:r>
    </w:p>
    <w:p w14:paraId="75BEFDCB" w14:textId="77777777" w:rsidR="001435E1" w:rsidRPr="001435E1" w:rsidRDefault="001435E1" w:rsidP="001435E1">
      <w:pPr>
        <w:jc w:val="both"/>
        <w:rPr>
          <w:szCs w:val="24"/>
        </w:rPr>
      </w:pPr>
    </w:p>
    <w:p w14:paraId="3A3A466A" w14:textId="072D73C5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2.503.552,15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68.236,09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2,73 % planiranog, a odnose se na rashode za otplatu glavnice (22.095,23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primljenog dugoročnog kredita od kreditnih institucija u javnom sektoru i pripadajuće kamate (203,36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Rashodi u ovom programu obuhvaćaju i kapitalni projekt rekonstrukcije i prenamjene područne škole Mala Erpenja u dječji vrtić (45.937,50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tj. izradu idejnog projekta prenamjene i troškove vođenja projekta. Također za navedeni program, ali za kapitalni projekt sanacije i opremanje vanjskog prostora planirani su rashodi u iznosu 82.000,00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81.861,96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99,83 % planiranog, a odnosi se na rashode za sanaciju vanjskog prostora Dječjeg vrtića Maslačak za koje su dobivena sredstva iz državnog proračuna u iznosu 41.814,75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.</w:t>
      </w:r>
    </w:p>
    <w:p w14:paraId="68AC313D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30E9DE1B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1008  Osnovno i srednjoškolsko obrazovanje</w:t>
      </w:r>
    </w:p>
    <w:p w14:paraId="16FA8FB2" w14:textId="3B1B3B8C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163.185,38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147.270,37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90,25 % planiranog. Financijska sredstva su utrošena za s</w:t>
      </w:r>
      <w:r w:rsidRPr="001435E1">
        <w:rPr>
          <w:bCs/>
          <w:szCs w:val="24"/>
        </w:rPr>
        <w:t xml:space="preserve">ufinanciranje prijevoza učenika srednjih škola (27.711,30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stipendiranje učenika i studenata (45.317,70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 te financiranje programa OŠ Krapinske Toplice (74.241,37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 koji obuhvaća sufinanciranje pomoćnika u nastavi, povećanje školskog standarda, sufinanciranje radnih materijala za učenike te darove talentiranim učenicima. </w:t>
      </w:r>
    </w:p>
    <w:p w14:paraId="256769FF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0B5A164F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1009 Socijalna skrb</w:t>
      </w:r>
    </w:p>
    <w:p w14:paraId="1A1690CB" w14:textId="3AEEE00F" w:rsidR="00BC406C" w:rsidRPr="001435E1" w:rsidRDefault="00BC406C" w:rsidP="001435E1">
      <w:pPr>
        <w:jc w:val="both"/>
        <w:rPr>
          <w:color w:val="000000"/>
          <w:szCs w:val="24"/>
        </w:rPr>
      </w:pPr>
      <w:r w:rsidRPr="001435E1">
        <w:rPr>
          <w:szCs w:val="24"/>
        </w:rPr>
        <w:t xml:space="preserve">Planirani su rashodi u iznosu od 205.358,38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175.885,86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85,65 % planiranog,</w:t>
      </w:r>
      <w:r w:rsidRPr="001435E1">
        <w:rPr>
          <w:color w:val="FF0000"/>
          <w:szCs w:val="24"/>
        </w:rPr>
        <w:t xml:space="preserve"> </w:t>
      </w:r>
      <w:r w:rsidRPr="001435E1">
        <w:rPr>
          <w:color w:val="000000"/>
          <w:szCs w:val="24"/>
        </w:rPr>
        <w:t xml:space="preserve">a radi se o opremi za novorođenčad (15.325,62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), pomoć roditeljima njegovateljima (7.000,00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), pomoć obiteljima i kućanstvima - jednokratna pomoć u novcu (9.330,34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), troškovima stanovanja (2.463,58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), troškovima prehrane – </w:t>
      </w:r>
      <w:r w:rsidRPr="001435E1">
        <w:rPr>
          <w:color w:val="000000"/>
          <w:szCs w:val="24"/>
        </w:rPr>
        <w:lastRenderedPageBreak/>
        <w:t xml:space="preserve">nabava prehrambenih artikala za umirovljenike (24.139,30), ostalim naknadama (86.355,50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), kao i troškovima nasljedstva iza socijalnih slučajeva (8.168,52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). Rashodi obuhvaćaju sufinanciranje rada Crvenog križa (18.000,00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 xml:space="preserve">) i sufinanciranje rada ustanove Dom za žrtve nasilja u obitelji (2.000,00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>).</w:t>
      </w:r>
    </w:p>
    <w:p w14:paraId="6EBD8925" w14:textId="77777777" w:rsidR="00BC406C" w:rsidRPr="001435E1" w:rsidRDefault="00BC406C" w:rsidP="00BC406C">
      <w:pPr>
        <w:jc w:val="both"/>
        <w:rPr>
          <w:szCs w:val="24"/>
        </w:rPr>
      </w:pPr>
    </w:p>
    <w:p w14:paraId="784342A1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1010 Promicanje kulture, razvoj sporta i rekreacije</w:t>
      </w:r>
    </w:p>
    <w:p w14:paraId="476013CC" w14:textId="329A3D61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67.500,00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66.239,16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98,13 % planiranog. Sredstva su utrošena za tekuće donacije vjerskim zajednicama (5.000,00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najam zemljišta za Dječji vrtić (239,17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tekuće donacije udrugama (28.999,99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sportskoj zajednici (32.000,00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</w:t>
      </w:r>
    </w:p>
    <w:p w14:paraId="4BE455F2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11C200C7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1011 Održavanje komunalne infrastrukture</w:t>
      </w:r>
    </w:p>
    <w:p w14:paraId="5AA4A04B" w14:textId="5A302801" w:rsidR="00BC406C" w:rsidRPr="001435E1" w:rsidRDefault="00BC406C" w:rsidP="001435E1">
      <w:pPr>
        <w:jc w:val="both"/>
        <w:rPr>
          <w:bCs/>
          <w:color w:val="000000"/>
          <w:szCs w:val="24"/>
        </w:rPr>
      </w:pPr>
      <w:r w:rsidRPr="001435E1">
        <w:rPr>
          <w:szCs w:val="24"/>
        </w:rPr>
        <w:t xml:space="preserve">Planirani su rashodi u iznosu od 910.222,55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783.643,43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86,09 % planiranog. Aktivnosti koje su obuhvaćene održavanjem komunalne infrastrukture su troškovi javne rasvjete (110.502,95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tekuće i investicijsko održavanje (662.814,83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te nabava stroja za održavanje javnih površina (10.325,65 </w:t>
      </w:r>
      <w:r w:rsidR="000017F5" w:rsidRPr="001435E1">
        <w:rPr>
          <w:color w:val="000000"/>
          <w:szCs w:val="24"/>
        </w:rPr>
        <w:t>eura</w:t>
      </w:r>
      <w:r w:rsidRPr="001435E1">
        <w:rPr>
          <w:color w:val="000000"/>
          <w:szCs w:val="24"/>
        </w:rPr>
        <w:t>). Sredstva su utrošena za rashode za energiju, zakupnine i najamnine, usluge tekućeg i investicijskog održavanja građevinskih objekata, ostale usluge tekućeg i investicijskog održavanja, m</w:t>
      </w:r>
      <w:r w:rsidRPr="001435E1">
        <w:rPr>
          <w:bCs/>
          <w:color w:val="000000"/>
          <w:szCs w:val="24"/>
        </w:rPr>
        <w:t xml:space="preserve">aterijal i dijelove za tekuće i investicijsko održavanje građevinskih objekata, nabavu stroja za održavanje javnih površina (kamata i izdatci za otplatu glavnice). </w:t>
      </w:r>
    </w:p>
    <w:p w14:paraId="78A63A74" w14:textId="77777777" w:rsidR="00BC406C" w:rsidRPr="001435E1" w:rsidRDefault="00BC406C" w:rsidP="00BC406C">
      <w:pPr>
        <w:jc w:val="both"/>
        <w:rPr>
          <w:bCs/>
          <w:color w:val="000000"/>
          <w:szCs w:val="24"/>
        </w:rPr>
      </w:pPr>
    </w:p>
    <w:p w14:paraId="1C1D72D9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1012 Izgradnja komunalne infrastrukture</w:t>
      </w:r>
    </w:p>
    <w:p w14:paraId="30CBA84E" w14:textId="62EADC6D" w:rsidR="00BC406C" w:rsidRPr="001435E1" w:rsidRDefault="00BC406C" w:rsidP="001435E1">
      <w:pPr>
        <w:jc w:val="both"/>
        <w:rPr>
          <w:bCs/>
          <w:szCs w:val="24"/>
        </w:rPr>
      </w:pPr>
      <w:r w:rsidRPr="001435E1">
        <w:rPr>
          <w:szCs w:val="24"/>
        </w:rPr>
        <w:t xml:space="preserve">Planirani su rashodi u iznosu od 7.975.503,64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1.921.047,60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24,09 % planiranog. Sredstva su utrošena za gradnju objekata komunalne infrastrukture (1.200.896,52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</w:t>
      </w:r>
      <w:r w:rsidRPr="001435E1">
        <w:rPr>
          <w:bCs/>
          <w:szCs w:val="24"/>
        </w:rPr>
        <w:t xml:space="preserve">izgradnju autobusnih stajališta (28.359,63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uređenje šetnice Antuna Mihanovića (3.500,00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kapitalni objekt uređenja sportskog terena (593.458,42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kapitalni projekt Toplice kulture (62.588,03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kapitalni projekt Rekonstrukcije Ulice Antuna Augustinčića (5.150,00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), kapitalni projekt Uređenje stambeno-poslovne zgrade (23.125,00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) te kapitalni projekt Prilazna i spojna cesta (3.970,00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>)</w:t>
      </w:r>
    </w:p>
    <w:p w14:paraId="167D6728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63EB2F5D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1013 Prostorno uređenje i unaprjeđenje stanovanja</w:t>
      </w:r>
    </w:p>
    <w:p w14:paraId="5084E7B6" w14:textId="03AA70A1" w:rsidR="00BC406C" w:rsidRPr="001435E1" w:rsidRDefault="00BC406C" w:rsidP="001435E1">
      <w:pPr>
        <w:jc w:val="both"/>
        <w:rPr>
          <w:color w:val="FF0000"/>
          <w:szCs w:val="24"/>
        </w:rPr>
      </w:pPr>
      <w:r w:rsidRPr="001435E1">
        <w:rPr>
          <w:szCs w:val="24"/>
        </w:rPr>
        <w:t xml:space="preserve">Planirani su rashodi u iznosu od 49.500,00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22.812,50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46,08 % planiranog. Rashodi se odnose na dokumente za promjenu prostornog i urbanističkog plana Općine Krapinske Toplice. </w:t>
      </w:r>
      <w:r w:rsidRPr="001435E1">
        <w:rPr>
          <w:color w:val="FF0000"/>
          <w:szCs w:val="24"/>
        </w:rPr>
        <w:t xml:space="preserve"> </w:t>
      </w:r>
    </w:p>
    <w:p w14:paraId="15BA24A9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211D1E52" w14:textId="77777777" w:rsidR="00BC406C" w:rsidRPr="001435E1" w:rsidRDefault="00BC406C" w:rsidP="00BC406C">
      <w:pPr>
        <w:jc w:val="both"/>
        <w:rPr>
          <w:b/>
          <w:szCs w:val="24"/>
        </w:rPr>
      </w:pPr>
      <w:r w:rsidRPr="001435E1">
        <w:rPr>
          <w:b/>
          <w:szCs w:val="24"/>
        </w:rPr>
        <w:t>PROGRAM 1014 Zaštita i spašavanje</w:t>
      </w:r>
    </w:p>
    <w:p w14:paraId="7520E8BB" w14:textId="3ECDC0AD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259.100,00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256.497,77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99,00 % planiranog. Sredstva su utrošena za sufinanciranje Vatrogasne zajednice Krapinske Toplice (87.999,96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Javne vatrogasne postrojbe (140.493,74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Gorske službe spašavanja (2.000,00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).</w:t>
      </w:r>
    </w:p>
    <w:p w14:paraId="0A8D4FF0" w14:textId="77777777" w:rsidR="00BC406C" w:rsidRPr="001435E1" w:rsidRDefault="00BC406C" w:rsidP="00BC406C">
      <w:pPr>
        <w:jc w:val="both"/>
        <w:rPr>
          <w:color w:val="00B050"/>
          <w:szCs w:val="24"/>
        </w:rPr>
      </w:pPr>
    </w:p>
    <w:p w14:paraId="6A40635B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1015 Poticanje razvoja turizma</w:t>
      </w:r>
    </w:p>
    <w:p w14:paraId="43308A9A" w14:textId="24279C31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193.965,05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193.965,04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100,00 % planiranog, a sredstva su utrošena za prijenos sredstava za redovan rad turističke zajednice i organiziranje manifestacija. </w:t>
      </w:r>
    </w:p>
    <w:p w14:paraId="3842090B" w14:textId="77777777" w:rsidR="00BC406C" w:rsidRPr="001435E1" w:rsidRDefault="00BC406C" w:rsidP="00BC406C">
      <w:pPr>
        <w:jc w:val="both"/>
        <w:rPr>
          <w:color w:val="00B050"/>
          <w:szCs w:val="24"/>
        </w:rPr>
      </w:pPr>
    </w:p>
    <w:p w14:paraId="5861AF54" w14:textId="77777777" w:rsidR="00BC406C" w:rsidRPr="001435E1" w:rsidRDefault="00BC406C" w:rsidP="00BC406C">
      <w:pPr>
        <w:jc w:val="both"/>
        <w:rPr>
          <w:szCs w:val="24"/>
        </w:rPr>
      </w:pPr>
      <w:r w:rsidRPr="001435E1">
        <w:rPr>
          <w:b/>
          <w:bCs/>
          <w:szCs w:val="24"/>
        </w:rPr>
        <w:t>PROGRAM 1016 Subvencije poljoprivrednicima, malog i srednjeg poduzetništva</w:t>
      </w:r>
    </w:p>
    <w:p w14:paraId="36901C88" w14:textId="3ECB3C20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lastRenderedPageBreak/>
        <w:t xml:space="preserve">Planirani su rashodi u iznosu od 13.100,00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2.522,30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19,25 % planiranog, a sredstva su utrošena za subvencije poljoprivrednicima za sufinanciranje umjetnog </w:t>
      </w:r>
      <w:proofErr w:type="spellStart"/>
      <w:r w:rsidR="001435E1" w:rsidRPr="001435E1">
        <w:rPr>
          <w:szCs w:val="24"/>
        </w:rPr>
        <w:t>osjemenjivanj</w:t>
      </w:r>
      <w:r w:rsidR="001435E1">
        <w:rPr>
          <w:szCs w:val="24"/>
        </w:rPr>
        <w:t>a</w:t>
      </w:r>
      <w:proofErr w:type="spellEnd"/>
      <w:r w:rsidRPr="001435E1">
        <w:rPr>
          <w:szCs w:val="24"/>
        </w:rPr>
        <w:t xml:space="preserve">. </w:t>
      </w:r>
    </w:p>
    <w:p w14:paraId="51A36047" w14:textId="77777777" w:rsidR="00BC406C" w:rsidRPr="001435E1" w:rsidRDefault="00BC406C" w:rsidP="00BC406C">
      <w:pPr>
        <w:jc w:val="both"/>
        <w:rPr>
          <w:szCs w:val="24"/>
        </w:rPr>
      </w:pPr>
    </w:p>
    <w:p w14:paraId="03B15997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1017 Financiranje ostalih javnih potreba</w:t>
      </w:r>
    </w:p>
    <w:p w14:paraId="45C6A882" w14:textId="2A917CF4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273.125,00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244.840,35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 89,64 % planiranog. Financijska sredstva utrošena su za veterinarske usluge (13.289,29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autorske honorare (458,17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usluge vještačenja (500,00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usluge odvjetnika i pravnog savjetovanja (30.408,78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konzultantske usluge (53.762,50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troškovi ISSO norme (812,50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ostale nespomenute usluge (26.449,00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zaštitu na radu (1.025,00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civilnu zaštitu (2.670,00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geodetske i katastarske usluge (1.500,00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troškove poljoprivrednog redara (10.948,04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rashode za programsku suradnju kino predstava (20.000,00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naknade za odlagalište otpada (31.085,99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proviziju 1% za državni proračun (1.727,66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proviziju 5% za Poreznu upravu (35.530,68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usluge banaka (3.745,70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), usluge platnog prometa (1.825,05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 i zatezne kamate iz poslovnih odnosa (2.720,65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).  </w:t>
      </w:r>
    </w:p>
    <w:p w14:paraId="713B54F8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0C37B4D1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1018  Uređenje zapadnog dijela centra</w:t>
      </w:r>
    </w:p>
    <w:p w14:paraId="5020802E" w14:textId="759627F6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719.000,00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izvršeni u iznosu od 548.804,71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što predstavlja 76,33 % planiranog, a financijska sredstva su utrošena za izgradnju parkirališta, šetnice i mosta. </w:t>
      </w:r>
    </w:p>
    <w:p w14:paraId="09E23EC7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478F1882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PROGRAM 1020  Sportski objekti</w:t>
      </w:r>
    </w:p>
    <w:p w14:paraId="57AC0040" w14:textId="2A10F6F6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Planirani su rashodi u iznosu od 33.000,00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ali za navedeni projekt nema izvršenja jer nije napravljena projektna dokumentacija. </w:t>
      </w:r>
    </w:p>
    <w:p w14:paraId="7C928CF5" w14:textId="77777777" w:rsidR="00BC406C" w:rsidRPr="001435E1" w:rsidRDefault="00BC406C" w:rsidP="00BC406C">
      <w:pPr>
        <w:rPr>
          <w:b/>
          <w:bCs/>
          <w:color w:val="FF0000"/>
          <w:szCs w:val="24"/>
        </w:rPr>
      </w:pPr>
    </w:p>
    <w:p w14:paraId="1D36A0EC" w14:textId="77777777" w:rsidR="00BC406C" w:rsidRPr="001435E1" w:rsidRDefault="00BC406C" w:rsidP="00BC406C">
      <w:pPr>
        <w:rPr>
          <w:b/>
          <w:bCs/>
          <w:color w:val="FF0000"/>
          <w:szCs w:val="24"/>
        </w:rPr>
      </w:pPr>
    </w:p>
    <w:p w14:paraId="53C83268" w14:textId="77777777" w:rsidR="00BC406C" w:rsidRPr="001435E1" w:rsidRDefault="00BC406C" w:rsidP="00F7336B">
      <w:pPr>
        <w:rPr>
          <w:b/>
          <w:bCs/>
          <w:szCs w:val="24"/>
        </w:rPr>
      </w:pPr>
      <w:r w:rsidRPr="001435E1">
        <w:rPr>
          <w:b/>
          <w:bCs/>
          <w:szCs w:val="24"/>
        </w:rPr>
        <w:t>POSEBNI IZVJEŠTAJI</w:t>
      </w:r>
    </w:p>
    <w:p w14:paraId="1408AC87" w14:textId="77777777" w:rsidR="00BC406C" w:rsidRPr="001435E1" w:rsidRDefault="00BC406C" w:rsidP="001435E1">
      <w:pPr>
        <w:rPr>
          <w:szCs w:val="24"/>
        </w:rPr>
      </w:pPr>
      <w:r w:rsidRPr="001435E1">
        <w:rPr>
          <w:szCs w:val="24"/>
        </w:rPr>
        <w:t>Sukladno članku 80. stavku 2. Zakona o proračunu („Narodne novine“, broj 144/21) posebni izvještaji u godišnjem izvještaju o izvršenju proračuna za razdoblje 01. siječanj – 31. prosinac 2025. godine su:</w:t>
      </w:r>
    </w:p>
    <w:p w14:paraId="624E879B" w14:textId="77777777" w:rsidR="001435E1" w:rsidRPr="001435E1" w:rsidRDefault="001435E1" w:rsidP="001435E1">
      <w:pPr>
        <w:rPr>
          <w:szCs w:val="24"/>
        </w:rPr>
      </w:pPr>
    </w:p>
    <w:p w14:paraId="4E5EABB0" w14:textId="77777777" w:rsidR="00BC406C" w:rsidRPr="001435E1" w:rsidRDefault="00BC406C" w:rsidP="00BC406C">
      <w:pPr>
        <w:rPr>
          <w:b/>
          <w:bCs/>
          <w:szCs w:val="24"/>
        </w:rPr>
      </w:pPr>
      <w:r w:rsidRPr="001435E1">
        <w:rPr>
          <w:b/>
          <w:bCs/>
          <w:szCs w:val="24"/>
        </w:rPr>
        <w:t>Izvještaj o korištenju proračunske zalihe</w:t>
      </w:r>
    </w:p>
    <w:p w14:paraId="4CB5B8FD" w14:textId="2AAA3FAA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>Utvrđuje se da je Općina Krapinske Toplice Proračunom za 2025. godinu (“Službeni glasnik Krapinsko-zagorske županije“, broj 50/24)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planirala tekuću zalihu proračuna u iznosu od 2.700,00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i da u izvještajnom razdoblju nije bilo evidentiranih rashoda tako da je izvršenje 0,00%.</w:t>
      </w:r>
    </w:p>
    <w:p w14:paraId="4CE15BB7" w14:textId="77777777" w:rsidR="00BC406C" w:rsidRPr="001435E1" w:rsidRDefault="00BC406C" w:rsidP="00BC406C">
      <w:pPr>
        <w:jc w:val="both"/>
        <w:rPr>
          <w:szCs w:val="24"/>
        </w:rPr>
      </w:pPr>
    </w:p>
    <w:p w14:paraId="7286AF9A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Izvještaj o korištenju sredstava Europske unije</w:t>
      </w:r>
    </w:p>
    <w:p w14:paraId="05BE2BF5" w14:textId="55D8E80F" w:rsidR="00BC406C" w:rsidRPr="001435E1" w:rsidRDefault="00BC406C" w:rsidP="001435E1">
      <w:pPr>
        <w:jc w:val="both"/>
        <w:rPr>
          <w:color w:val="FF0000"/>
          <w:szCs w:val="24"/>
        </w:rPr>
      </w:pPr>
      <w:r w:rsidRPr="001435E1">
        <w:rPr>
          <w:szCs w:val="24"/>
        </w:rPr>
        <w:t xml:space="preserve">Općinska knjižnica Krapinske Toplice u razdoblju 01. siječnja do 31. prosinca 2025. koristila je sredstva fondova Europske unije u iznosu od 2.150,00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za troškove stručnog usavršavanja zaposlenika u sklopu Erasmus akreditacije (Tečaj u Španjolskoj). Ukupan iznos dobivenih sredstava iznosio je 2.510,00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, a razlika je višak. </w:t>
      </w:r>
    </w:p>
    <w:p w14:paraId="38CB74B0" w14:textId="77777777" w:rsidR="001435E1" w:rsidRPr="001435E1" w:rsidRDefault="001435E1" w:rsidP="001435E1">
      <w:pPr>
        <w:jc w:val="both"/>
        <w:rPr>
          <w:szCs w:val="24"/>
        </w:rPr>
      </w:pPr>
    </w:p>
    <w:p w14:paraId="6BA9111F" w14:textId="79B53BFE" w:rsidR="00BC406C" w:rsidRPr="001435E1" w:rsidRDefault="00BC406C" w:rsidP="001435E1">
      <w:pPr>
        <w:jc w:val="both"/>
        <w:rPr>
          <w:color w:val="FF0000"/>
          <w:szCs w:val="24"/>
        </w:rPr>
      </w:pPr>
      <w:r w:rsidRPr="001435E1">
        <w:rPr>
          <w:szCs w:val="24"/>
        </w:rPr>
        <w:t xml:space="preserve">Općina Krapinske Toplice u razdoblju 01. Siječnja do 31. Prosinca 2025. Koristila je sredstva Europskog fonda za regionalni razvoj za provedbu projekta “Toplice kulture”. Utrošena su sredstva u iznosu 32.878.13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za radove, te 29.709,90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za troškove intelektualnih i osobnih usluga.</w:t>
      </w:r>
      <w:r w:rsidRPr="001435E1">
        <w:rPr>
          <w:color w:val="FF0000"/>
          <w:szCs w:val="24"/>
        </w:rPr>
        <w:t xml:space="preserve"> </w:t>
      </w:r>
      <w:r w:rsidRPr="001435E1">
        <w:rPr>
          <w:szCs w:val="24"/>
        </w:rPr>
        <w:t xml:space="preserve">Ukupan iznos dobivenih sredstava iznosio je 401.621,32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, a razlikom će se platiti rashodi koji budu ostvareni u sljedećoj godini.</w:t>
      </w:r>
    </w:p>
    <w:p w14:paraId="5002B82A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64AB77AF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lastRenderedPageBreak/>
        <w:t>Izvještaj o zaduživanju na domaćem i stranom tržištu novca i kapitala</w:t>
      </w:r>
    </w:p>
    <w:p w14:paraId="21260548" w14:textId="77777777" w:rsidR="001435E1" w:rsidRPr="001435E1" w:rsidRDefault="001435E1" w:rsidP="001435E1">
      <w:pPr>
        <w:jc w:val="both"/>
        <w:rPr>
          <w:szCs w:val="24"/>
        </w:rPr>
      </w:pPr>
    </w:p>
    <w:p w14:paraId="3128B855" w14:textId="70484FB0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Utvrđuje se da se Općina Krapinske Toplice u razdoblju od 01. siječnja do 31. prosinca 2025. godine zadužila na domaćem tržištu za primljeni kratkoročni zajam od ostalih tuzemnih financijskih institucija izvan javnog sektora u iznosu 864.333,04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. </w:t>
      </w:r>
    </w:p>
    <w:p w14:paraId="43DA621C" w14:textId="77777777" w:rsidR="001435E1" w:rsidRPr="001435E1" w:rsidRDefault="001435E1" w:rsidP="001435E1">
      <w:pPr>
        <w:jc w:val="both"/>
        <w:rPr>
          <w:szCs w:val="24"/>
        </w:rPr>
      </w:pPr>
    </w:p>
    <w:p w14:paraId="3179CFA7" w14:textId="2D9867FD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Sklopljen je ugovor o dobavljačkom </w:t>
      </w:r>
      <w:proofErr w:type="spellStart"/>
      <w:r w:rsidRPr="001435E1">
        <w:rPr>
          <w:szCs w:val="24"/>
        </w:rPr>
        <w:t>factoringu</w:t>
      </w:r>
      <w:proofErr w:type="spellEnd"/>
      <w:r w:rsidRPr="001435E1">
        <w:rPr>
          <w:szCs w:val="24"/>
        </w:rPr>
        <w:t xml:space="preserve"> sa </w:t>
      </w:r>
      <w:proofErr w:type="spellStart"/>
      <w:r w:rsidRPr="001435E1">
        <w:rPr>
          <w:szCs w:val="24"/>
        </w:rPr>
        <w:t>Erste&amp;</w:t>
      </w:r>
      <w:r w:rsidR="007F33D8">
        <w:rPr>
          <w:szCs w:val="24"/>
        </w:rPr>
        <w:t>S</w:t>
      </w:r>
      <w:r w:rsidRPr="001435E1">
        <w:rPr>
          <w:szCs w:val="24"/>
        </w:rPr>
        <w:t>teiermarkische</w:t>
      </w:r>
      <w:proofErr w:type="spellEnd"/>
      <w:r w:rsidRPr="001435E1">
        <w:rPr>
          <w:szCs w:val="24"/>
        </w:rPr>
        <w:t xml:space="preserve"> </w:t>
      </w:r>
      <w:proofErr w:type="spellStart"/>
      <w:r w:rsidRPr="001435E1">
        <w:rPr>
          <w:szCs w:val="24"/>
        </w:rPr>
        <w:t>bank</w:t>
      </w:r>
      <w:proofErr w:type="spellEnd"/>
      <w:r w:rsidRPr="001435E1">
        <w:rPr>
          <w:szCs w:val="24"/>
        </w:rPr>
        <w:t xml:space="preserve"> d.d. na iznos 431.244,96 </w:t>
      </w:r>
      <w:r w:rsidR="007F33D8">
        <w:rPr>
          <w:szCs w:val="24"/>
        </w:rPr>
        <w:t>eura</w:t>
      </w:r>
      <w:r w:rsidRPr="001435E1">
        <w:rPr>
          <w:szCs w:val="24"/>
        </w:rPr>
        <w:t xml:space="preserve"> dana 24.04.2025. godine s rokom dospijeća 17.04.2026. Do 31.12.2025. otplaćeno je 0,00 </w:t>
      </w:r>
      <w:r w:rsidR="007F33D8">
        <w:rPr>
          <w:szCs w:val="24"/>
        </w:rPr>
        <w:t>eura</w:t>
      </w:r>
      <w:r w:rsidRPr="001435E1">
        <w:rPr>
          <w:szCs w:val="24"/>
        </w:rPr>
        <w:t xml:space="preserve"> te je stanje </w:t>
      </w:r>
      <w:proofErr w:type="spellStart"/>
      <w:r w:rsidRPr="001435E1">
        <w:rPr>
          <w:szCs w:val="24"/>
        </w:rPr>
        <w:t>factoringa</w:t>
      </w:r>
      <w:proofErr w:type="spellEnd"/>
      <w:r w:rsidRPr="001435E1">
        <w:rPr>
          <w:szCs w:val="24"/>
        </w:rPr>
        <w:t xml:space="preserve"> iznosi 431.244,96 </w:t>
      </w:r>
      <w:r w:rsidR="007F33D8">
        <w:rPr>
          <w:szCs w:val="24"/>
        </w:rPr>
        <w:t>eura</w:t>
      </w:r>
      <w:r w:rsidRPr="001435E1">
        <w:rPr>
          <w:szCs w:val="24"/>
        </w:rPr>
        <w:t>.</w:t>
      </w:r>
    </w:p>
    <w:p w14:paraId="14FA683C" w14:textId="77777777" w:rsidR="001435E1" w:rsidRPr="001435E1" w:rsidRDefault="001435E1" w:rsidP="001435E1">
      <w:pPr>
        <w:jc w:val="both"/>
        <w:rPr>
          <w:szCs w:val="24"/>
        </w:rPr>
      </w:pPr>
    </w:p>
    <w:p w14:paraId="4E658D3B" w14:textId="02DE59F2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Sklopljen je ugovor o cesiji sa </w:t>
      </w:r>
      <w:proofErr w:type="spellStart"/>
      <w:r w:rsidRPr="001435E1">
        <w:rPr>
          <w:szCs w:val="24"/>
        </w:rPr>
        <w:t>Erste&amp;</w:t>
      </w:r>
      <w:r w:rsidR="007F33D8">
        <w:rPr>
          <w:szCs w:val="24"/>
        </w:rPr>
        <w:t>S</w:t>
      </w:r>
      <w:r w:rsidRPr="001435E1">
        <w:rPr>
          <w:szCs w:val="24"/>
        </w:rPr>
        <w:t>teiermarkische</w:t>
      </w:r>
      <w:proofErr w:type="spellEnd"/>
      <w:r w:rsidRPr="001435E1">
        <w:rPr>
          <w:szCs w:val="24"/>
        </w:rPr>
        <w:t xml:space="preserve"> </w:t>
      </w:r>
      <w:proofErr w:type="spellStart"/>
      <w:r w:rsidRPr="001435E1">
        <w:rPr>
          <w:szCs w:val="24"/>
        </w:rPr>
        <w:t>bank</w:t>
      </w:r>
      <w:proofErr w:type="spellEnd"/>
      <w:r w:rsidRPr="001435E1">
        <w:rPr>
          <w:szCs w:val="24"/>
        </w:rPr>
        <w:t xml:space="preserve"> d.d. i ZAVRŠNI RADOVI KREŠO d.o.o. na iznos 346.910,25 </w:t>
      </w:r>
      <w:r w:rsidR="007F33D8">
        <w:rPr>
          <w:szCs w:val="24"/>
        </w:rPr>
        <w:t>eura</w:t>
      </w:r>
      <w:r w:rsidRPr="001435E1">
        <w:rPr>
          <w:szCs w:val="24"/>
        </w:rPr>
        <w:t xml:space="preserve"> dana 02.05.2025. s rokom dospijeća 27.04.2026. Do 31.12.2025. otplaćeno je 0,00 </w:t>
      </w:r>
      <w:r w:rsidR="007F33D8">
        <w:rPr>
          <w:szCs w:val="24"/>
        </w:rPr>
        <w:t>eura</w:t>
      </w:r>
      <w:r w:rsidRPr="001435E1">
        <w:rPr>
          <w:szCs w:val="24"/>
        </w:rPr>
        <w:t xml:space="preserve"> te stanje cesije iznosi 346.910,25 </w:t>
      </w:r>
      <w:r w:rsidR="007F33D8">
        <w:rPr>
          <w:szCs w:val="24"/>
        </w:rPr>
        <w:t>eura</w:t>
      </w:r>
      <w:r w:rsidRPr="001435E1">
        <w:rPr>
          <w:szCs w:val="24"/>
        </w:rPr>
        <w:t>.</w:t>
      </w:r>
    </w:p>
    <w:p w14:paraId="0D23A92C" w14:textId="77777777" w:rsidR="007F33D8" w:rsidRDefault="007F33D8" w:rsidP="001435E1">
      <w:pPr>
        <w:jc w:val="both"/>
        <w:rPr>
          <w:szCs w:val="24"/>
        </w:rPr>
      </w:pPr>
    </w:p>
    <w:p w14:paraId="624485EC" w14:textId="6A1ABF6B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Sklopljen je ugovor o odobrenom minusu po transakcijskom računu sa </w:t>
      </w:r>
      <w:proofErr w:type="spellStart"/>
      <w:r w:rsidRPr="001435E1">
        <w:rPr>
          <w:szCs w:val="24"/>
        </w:rPr>
        <w:t>Erste&amp;</w:t>
      </w:r>
      <w:r w:rsidR="007F33D8">
        <w:rPr>
          <w:szCs w:val="24"/>
        </w:rPr>
        <w:t>S</w:t>
      </w:r>
      <w:r w:rsidRPr="001435E1">
        <w:rPr>
          <w:szCs w:val="24"/>
        </w:rPr>
        <w:t>teiermarkische</w:t>
      </w:r>
      <w:proofErr w:type="spellEnd"/>
      <w:r w:rsidRPr="001435E1">
        <w:rPr>
          <w:szCs w:val="24"/>
        </w:rPr>
        <w:t xml:space="preserve"> </w:t>
      </w:r>
      <w:proofErr w:type="spellStart"/>
      <w:r w:rsidRPr="001435E1">
        <w:rPr>
          <w:szCs w:val="24"/>
        </w:rPr>
        <w:t>bank</w:t>
      </w:r>
      <w:proofErr w:type="spellEnd"/>
      <w:r w:rsidRPr="001435E1">
        <w:rPr>
          <w:szCs w:val="24"/>
        </w:rPr>
        <w:t xml:space="preserve"> d.d. na iznos od 300.000,00 </w:t>
      </w:r>
      <w:r w:rsidR="007F33D8">
        <w:rPr>
          <w:szCs w:val="24"/>
        </w:rPr>
        <w:t>eura</w:t>
      </w:r>
      <w:r w:rsidRPr="001435E1">
        <w:rPr>
          <w:szCs w:val="24"/>
        </w:rPr>
        <w:t xml:space="preserve"> dana 07.01.2025. s rokom otplate 30.12.2025. Odobreni minus se koristio tijekom 2025. godine, a 31.12.2025. stanje iskorištenog minusa iznosi 86.177,83 </w:t>
      </w:r>
      <w:r w:rsidR="007F33D8">
        <w:rPr>
          <w:szCs w:val="24"/>
        </w:rPr>
        <w:t>eura</w:t>
      </w:r>
      <w:r w:rsidRPr="001435E1">
        <w:rPr>
          <w:szCs w:val="24"/>
        </w:rPr>
        <w:t>.</w:t>
      </w:r>
    </w:p>
    <w:p w14:paraId="79D2936F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25854984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Izvještaj o danim zajmovima i potraživanjima po danim zajmovima</w:t>
      </w:r>
    </w:p>
    <w:p w14:paraId="1D695A1B" w14:textId="39CC1301" w:rsidR="00BC406C" w:rsidRPr="001435E1" w:rsidRDefault="00BC406C" w:rsidP="001435E1">
      <w:pPr>
        <w:jc w:val="both"/>
        <w:rPr>
          <w:szCs w:val="24"/>
        </w:rPr>
      </w:pPr>
      <w:r w:rsidRPr="001435E1">
        <w:rPr>
          <w:szCs w:val="24"/>
        </w:rPr>
        <w:t xml:space="preserve">Utvrđuje se da Općina Krapinske Toplice u razdoblju od 01. siječnja do 31. prosinca 2025. godine ima evidentirana dospjela potraživanja temeljem danih zajmova u iznosu od 15.085,09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>.</w:t>
      </w:r>
    </w:p>
    <w:p w14:paraId="761A7C5D" w14:textId="77777777" w:rsidR="00BC406C" w:rsidRPr="001435E1" w:rsidRDefault="00BC406C" w:rsidP="00BC406C">
      <w:pPr>
        <w:jc w:val="both"/>
        <w:rPr>
          <w:b/>
          <w:bCs/>
          <w:color w:val="FF0000"/>
          <w:szCs w:val="24"/>
        </w:rPr>
      </w:pPr>
    </w:p>
    <w:p w14:paraId="7121F34B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Izvještaj o danim jamstvima i plaćanjima po protestiranim jamstvima</w:t>
      </w:r>
    </w:p>
    <w:p w14:paraId="3B6B1426" w14:textId="77777777" w:rsidR="00BC406C" w:rsidRPr="001435E1" w:rsidRDefault="00BC406C" w:rsidP="001435E1">
      <w:pPr>
        <w:jc w:val="both"/>
        <w:rPr>
          <w:b/>
          <w:bCs/>
          <w:szCs w:val="24"/>
        </w:rPr>
      </w:pPr>
      <w:r w:rsidRPr="001435E1">
        <w:rPr>
          <w:szCs w:val="24"/>
        </w:rPr>
        <w:t xml:space="preserve">Utvrđuje se da Općina Krapinske Toplice u razdoblju od 01. siječnja do 31. prosinca 2025. godine nije izdavala jamstava pa stoga nema niti izdataka po danim jamstvima. </w:t>
      </w:r>
    </w:p>
    <w:p w14:paraId="15F0C1C9" w14:textId="77777777" w:rsidR="00BC406C" w:rsidRPr="001435E1" w:rsidRDefault="00BC406C" w:rsidP="00BC406C">
      <w:pPr>
        <w:jc w:val="both"/>
        <w:rPr>
          <w:b/>
          <w:bCs/>
          <w:color w:val="FF0000"/>
          <w:szCs w:val="24"/>
        </w:rPr>
      </w:pPr>
    </w:p>
    <w:p w14:paraId="4D6CE0A7" w14:textId="77777777" w:rsidR="00BC406C" w:rsidRPr="001435E1" w:rsidRDefault="00BC406C" w:rsidP="00BC406C">
      <w:pPr>
        <w:jc w:val="both"/>
        <w:rPr>
          <w:b/>
          <w:bCs/>
          <w:szCs w:val="24"/>
        </w:rPr>
      </w:pPr>
      <w:r w:rsidRPr="001435E1">
        <w:rPr>
          <w:b/>
          <w:bCs/>
          <w:szCs w:val="24"/>
        </w:rPr>
        <w:t>Izvještaj o stanju potraživanja i dospjelih obveza te o stanju potencijalnih obveza po osnovi sudskih sporova</w:t>
      </w:r>
    </w:p>
    <w:p w14:paraId="625D9424" w14:textId="77777777" w:rsidR="00BC406C" w:rsidRPr="001435E1" w:rsidRDefault="00BC406C" w:rsidP="000017F5">
      <w:pPr>
        <w:ind w:firstLine="360"/>
        <w:jc w:val="both"/>
        <w:rPr>
          <w:bCs/>
          <w:szCs w:val="24"/>
        </w:rPr>
      </w:pPr>
      <w:r w:rsidRPr="001435E1">
        <w:rPr>
          <w:bCs/>
          <w:szCs w:val="24"/>
        </w:rPr>
        <w:t>Za razdoblje od 01. siječnja do 31. prosinca 2025. godine utvrđuje se stanje:</w:t>
      </w:r>
    </w:p>
    <w:p w14:paraId="3B090311" w14:textId="77777777" w:rsidR="00BC406C" w:rsidRPr="001435E1" w:rsidRDefault="00BC406C" w:rsidP="00BC406C">
      <w:pPr>
        <w:numPr>
          <w:ilvl w:val="0"/>
          <w:numId w:val="2"/>
        </w:numPr>
        <w:jc w:val="both"/>
        <w:rPr>
          <w:szCs w:val="24"/>
        </w:rPr>
      </w:pPr>
      <w:r w:rsidRPr="001435E1">
        <w:rPr>
          <w:b/>
          <w:szCs w:val="24"/>
        </w:rPr>
        <w:t>Potraživanja</w:t>
      </w:r>
      <w:r w:rsidRPr="001435E1">
        <w:rPr>
          <w:bCs/>
          <w:szCs w:val="24"/>
        </w:rPr>
        <w:t>, a kako slijedi:</w:t>
      </w:r>
    </w:p>
    <w:p w14:paraId="63C782C8" w14:textId="12E7A065" w:rsidR="00BC406C" w:rsidRPr="001435E1" w:rsidRDefault="00BC406C" w:rsidP="00BC406C">
      <w:pPr>
        <w:ind w:left="720"/>
        <w:jc w:val="both"/>
        <w:rPr>
          <w:bCs/>
          <w:szCs w:val="24"/>
        </w:rPr>
      </w:pPr>
      <w:r w:rsidRPr="001435E1">
        <w:rPr>
          <w:bCs/>
          <w:i/>
          <w:iCs/>
          <w:szCs w:val="24"/>
        </w:rPr>
        <w:t xml:space="preserve">- Potraživanja za dane zajmove (dospjela) – </w:t>
      </w:r>
      <w:r w:rsidRPr="001435E1">
        <w:rPr>
          <w:bCs/>
          <w:szCs w:val="24"/>
        </w:rPr>
        <w:t xml:space="preserve">u iznosu od 15.085,09 </w:t>
      </w:r>
      <w:r w:rsidR="000017F5" w:rsidRPr="001435E1">
        <w:rPr>
          <w:bCs/>
          <w:szCs w:val="24"/>
        </w:rPr>
        <w:t>eura</w:t>
      </w:r>
    </w:p>
    <w:p w14:paraId="77F12A2A" w14:textId="527738AF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bCs/>
          <w:i/>
          <w:iCs/>
          <w:szCs w:val="24"/>
        </w:rPr>
        <w:t>-</w:t>
      </w:r>
      <w:r w:rsidRPr="001435E1">
        <w:rPr>
          <w:bCs/>
          <w:szCs w:val="24"/>
        </w:rPr>
        <w:t xml:space="preserve"> </w:t>
      </w:r>
      <w:r w:rsidRPr="001435E1">
        <w:rPr>
          <w:bCs/>
          <w:i/>
          <w:iCs/>
          <w:szCs w:val="24"/>
        </w:rPr>
        <w:t xml:space="preserve">Potraživanja za prihode poslovanja (dospjela) </w:t>
      </w:r>
      <w:r w:rsidRPr="001435E1">
        <w:rPr>
          <w:szCs w:val="24"/>
        </w:rPr>
        <w:t xml:space="preserve">– u iznosu od 491.768,25 </w:t>
      </w:r>
      <w:r w:rsidR="000017F5" w:rsidRPr="001435E1">
        <w:rPr>
          <w:szCs w:val="24"/>
        </w:rPr>
        <w:t>eura</w:t>
      </w:r>
    </w:p>
    <w:p w14:paraId="79EB8298" w14:textId="528F021C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bCs/>
          <w:i/>
          <w:iCs/>
          <w:szCs w:val="24"/>
        </w:rPr>
        <w:t xml:space="preserve">- Potraživanja za prihode poslovanja (nedospjela) </w:t>
      </w:r>
      <w:r w:rsidRPr="001435E1">
        <w:rPr>
          <w:szCs w:val="24"/>
        </w:rPr>
        <w:t xml:space="preserve">– u iznosu od 4.599.095,40 </w:t>
      </w:r>
      <w:r w:rsidR="000017F5" w:rsidRPr="001435E1">
        <w:rPr>
          <w:szCs w:val="24"/>
        </w:rPr>
        <w:t>eura</w:t>
      </w:r>
    </w:p>
    <w:p w14:paraId="5AFDEC71" w14:textId="5BAF7F6F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bCs/>
          <w:i/>
          <w:iCs/>
          <w:szCs w:val="24"/>
        </w:rPr>
        <w:t xml:space="preserve">- Potraživanja od prodaje nefinancijske imovine (nedospjela) </w:t>
      </w:r>
      <w:r w:rsidRPr="001435E1">
        <w:rPr>
          <w:szCs w:val="24"/>
        </w:rPr>
        <w:t xml:space="preserve">– u iznosu od 499,15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</w:t>
      </w:r>
    </w:p>
    <w:p w14:paraId="5A648231" w14:textId="26B5BDCA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bCs/>
          <w:i/>
          <w:iCs/>
          <w:szCs w:val="24"/>
        </w:rPr>
        <w:t xml:space="preserve">- Potraživanja za naknade koje se refundiraju </w:t>
      </w:r>
      <w:r w:rsidRPr="001435E1">
        <w:rPr>
          <w:szCs w:val="24"/>
        </w:rPr>
        <w:t xml:space="preserve">– u iznosu od 1.580,11 </w:t>
      </w:r>
      <w:r w:rsidR="000017F5" w:rsidRPr="001435E1">
        <w:rPr>
          <w:szCs w:val="24"/>
        </w:rPr>
        <w:t>eura</w:t>
      </w:r>
      <w:r w:rsidRPr="001435E1">
        <w:rPr>
          <w:szCs w:val="24"/>
        </w:rPr>
        <w:t xml:space="preserve"> </w:t>
      </w:r>
    </w:p>
    <w:p w14:paraId="5CE37527" w14:textId="72779CB0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szCs w:val="24"/>
        </w:rPr>
        <w:t xml:space="preserve">- </w:t>
      </w:r>
      <w:r w:rsidRPr="001435E1">
        <w:rPr>
          <w:i/>
          <w:iCs/>
          <w:szCs w:val="24"/>
        </w:rPr>
        <w:t xml:space="preserve">Potraživanja za predujmove – </w:t>
      </w:r>
      <w:r w:rsidRPr="001435E1">
        <w:rPr>
          <w:szCs w:val="24"/>
        </w:rPr>
        <w:t xml:space="preserve">u iznosu od 1.067,49 </w:t>
      </w:r>
      <w:r w:rsidR="000017F5" w:rsidRPr="001435E1">
        <w:rPr>
          <w:szCs w:val="24"/>
        </w:rPr>
        <w:t>eura</w:t>
      </w:r>
    </w:p>
    <w:p w14:paraId="1D1253D4" w14:textId="63C3C6AB" w:rsidR="00BC406C" w:rsidRPr="001435E1" w:rsidRDefault="00BC406C" w:rsidP="00BC406C">
      <w:pPr>
        <w:ind w:left="720"/>
        <w:jc w:val="both"/>
        <w:rPr>
          <w:szCs w:val="24"/>
        </w:rPr>
      </w:pPr>
      <w:r w:rsidRPr="001435E1">
        <w:rPr>
          <w:i/>
          <w:iCs/>
          <w:szCs w:val="24"/>
        </w:rPr>
        <w:t>- Ostala nespomenuta potraživanja</w:t>
      </w:r>
      <w:r w:rsidRPr="001435E1">
        <w:rPr>
          <w:szCs w:val="24"/>
        </w:rPr>
        <w:t xml:space="preserve"> – u iznosu od 29.129,64 </w:t>
      </w:r>
      <w:r w:rsidR="000017F5" w:rsidRPr="001435E1">
        <w:rPr>
          <w:szCs w:val="24"/>
        </w:rPr>
        <w:t>eura</w:t>
      </w:r>
    </w:p>
    <w:p w14:paraId="6326ACC0" w14:textId="77777777" w:rsidR="00BC406C" w:rsidRPr="001435E1" w:rsidRDefault="00BC406C" w:rsidP="00BC406C">
      <w:pPr>
        <w:jc w:val="both"/>
        <w:rPr>
          <w:color w:val="FF0000"/>
          <w:szCs w:val="24"/>
        </w:rPr>
      </w:pPr>
    </w:p>
    <w:p w14:paraId="5DBE3F8E" w14:textId="46735520" w:rsidR="00BC406C" w:rsidRPr="001435E1" w:rsidRDefault="00BC406C" w:rsidP="000017F5">
      <w:pPr>
        <w:ind w:firstLine="360"/>
        <w:jc w:val="both"/>
        <w:rPr>
          <w:szCs w:val="24"/>
        </w:rPr>
      </w:pPr>
      <w:r w:rsidRPr="001435E1">
        <w:rPr>
          <w:i/>
          <w:iCs/>
          <w:szCs w:val="24"/>
        </w:rPr>
        <w:t>Ispravak vrijednosti potraživanja</w:t>
      </w:r>
      <w:r w:rsidRPr="001435E1">
        <w:rPr>
          <w:szCs w:val="24"/>
        </w:rPr>
        <w:t xml:space="preserve"> – 491.768,25 </w:t>
      </w:r>
      <w:r w:rsidR="000017F5" w:rsidRPr="001435E1">
        <w:rPr>
          <w:szCs w:val="24"/>
        </w:rPr>
        <w:t>eura</w:t>
      </w:r>
    </w:p>
    <w:p w14:paraId="66990373" w14:textId="77777777" w:rsidR="00BC406C" w:rsidRPr="001435E1" w:rsidRDefault="00BC406C" w:rsidP="00BC406C">
      <w:pPr>
        <w:jc w:val="both"/>
        <w:rPr>
          <w:szCs w:val="24"/>
        </w:rPr>
      </w:pPr>
    </w:p>
    <w:p w14:paraId="17263CF4" w14:textId="24D4A3F4" w:rsidR="00BC406C" w:rsidRPr="001435E1" w:rsidRDefault="00BC406C" w:rsidP="00BC406C">
      <w:pPr>
        <w:numPr>
          <w:ilvl w:val="0"/>
          <w:numId w:val="2"/>
        </w:numPr>
        <w:jc w:val="both"/>
        <w:rPr>
          <w:szCs w:val="24"/>
        </w:rPr>
      </w:pPr>
      <w:r w:rsidRPr="001435E1">
        <w:rPr>
          <w:b/>
          <w:bCs/>
          <w:szCs w:val="24"/>
        </w:rPr>
        <w:t>Obveze</w:t>
      </w:r>
      <w:r w:rsidRPr="001435E1">
        <w:rPr>
          <w:szCs w:val="24"/>
        </w:rPr>
        <w:t>, a kako slijedi:</w:t>
      </w:r>
    </w:p>
    <w:p w14:paraId="30FD1EE1" w14:textId="6FCA5B1B" w:rsidR="00BC406C" w:rsidRPr="001435E1" w:rsidRDefault="00BC406C" w:rsidP="00BC406C">
      <w:pPr>
        <w:jc w:val="both"/>
        <w:rPr>
          <w:bCs/>
          <w:szCs w:val="24"/>
        </w:rPr>
      </w:pPr>
      <w:r w:rsidRPr="001435E1">
        <w:rPr>
          <w:bCs/>
          <w:szCs w:val="24"/>
        </w:rPr>
        <w:t xml:space="preserve"> </w:t>
      </w:r>
      <w:r w:rsidRPr="001435E1">
        <w:rPr>
          <w:bCs/>
          <w:szCs w:val="24"/>
        </w:rPr>
        <w:tab/>
      </w:r>
      <w:r w:rsidRPr="001435E1">
        <w:rPr>
          <w:bCs/>
          <w:i/>
          <w:iCs/>
          <w:szCs w:val="24"/>
        </w:rPr>
        <w:t xml:space="preserve">- Dospjele obveze </w:t>
      </w:r>
      <w:r w:rsidRPr="001435E1">
        <w:rPr>
          <w:bCs/>
          <w:szCs w:val="24"/>
        </w:rPr>
        <w:t xml:space="preserve">na kraju promatranog razdoblja u iznosu od 900.567,26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 (obveze za rashode poslovanja, obveze za nabavu nefinancijske imovine, obveze za financijsku imovinu  i obveze za predujmove, depozite, </w:t>
      </w:r>
      <w:proofErr w:type="spellStart"/>
      <w:r w:rsidRPr="001435E1">
        <w:rPr>
          <w:bCs/>
          <w:szCs w:val="24"/>
        </w:rPr>
        <w:t>jamčevne</w:t>
      </w:r>
      <w:proofErr w:type="spellEnd"/>
      <w:r w:rsidRPr="001435E1">
        <w:rPr>
          <w:bCs/>
          <w:szCs w:val="24"/>
        </w:rPr>
        <w:t xml:space="preserve"> </w:t>
      </w:r>
      <w:proofErr w:type="spellStart"/>
      <w:r w:rsidRPr="001435E1">
        <w:rPr>
          <w:bCs/>
          <w:szCs w:val="24"/>
        </w:rPr>
        <w:t>pologe</w:t>
      </w:r>
      <w:proofErr w:type="spellEnd"/>
      <w:r w:rsidRPr="001435E1">
        <w:rPr>
          <w:bCs/>
          <w:szCs w:val="24"/>
        </w:rPr>
        <w:t xml:space="preserve"> i tuđe prihode) </w:t>
      </w:r>
    </w:p>
    <w:p w14:paraId="79966717" w14:textId="08EBCA45" w:rsidR="00BC406C" w:rsidRPr="001435E1" w:rsidRDefault="00BC406C" w:rsidP="00BC406C">
      <w:pPr>
        <w:jc w:val="both"/>
        <w:rPr>
          <w:bCs/>
          <w:szCs w:val="24"/>
        </w:rPr>
      </w:pPr>
      <w:r w:rsidRPr="001435E1">
        <w:rPr>
          <w:bCs/>
          <w:color w:val="FF0000"/>
          <w:szCs w:val="24"/>
        </w:rPr>
        <w:tab/>
      </w:r>
      <w:r w:rsidRPr="001435E1">
        <w:rPr>
          <w:bCs/>
          <w:i/>
          <w:iCs/>
          <w:szCs w:val="24"/>
        </w:rPr>
        <w:t>- Nedospjele obveze</w:t>
      </w:r>
      <w:r w:rsidRPr="001435E1">
        <w:rPr>
          <w:bCs/>
          <w:szCs w:val="24"/>
        </w:rPr>
        <w:t xml:space="preserve"> na kraju promatranog razdoblja u iznosu od 1.151.505,05 </w:t>
      </w:r>
      <w:r w:rsidR="000017F5" w:rsidRPr="001435E1">
        <w:rPr>
          <w:bCs/>
          <w:szCs w:val="24"/>
        </w:rPr>
        <w:t>eura</w:t>
      </w:r>
      <w:r w:rsidRPr="001435E1">
        <w:rPr>
          <w:bCs/>
          <w:szCs w:val="24"/>
        </w:rPr>
        <w:t xml:space="preserve"> (obveze za rashode poslovanja, za nabavu nefinancijske imovine te obveze za financijsku imovinu).</w:t>
      </w:r>
    </w:p>
    <w:p w14:paraId="19FDD6E4" w14:textId="77777777" w:rsidR="00BC406C" w:rsidRPr="001435E1" w:rsidRDefault="00BC406C" w:rsidP="00BC406C">
      <w:pPr>
        <w:jc w:val="both"/>
        <w:rPr>
          <w:bCs/>
          <w:color w:val="FF0000"/>
          <w:szCs w:val="24"/>
        </w:rPr>
      </w:pPr>
    </w:p>
    <w:p w14:paraId="3A29B448" w14:textId="3307D639" w:rsidR="00BC406C" w:rsidRPr="001435E1" w:rsidRDefault="00BC406C" w:rsidP="00F7336B">
      <w:pPr>
        <w:pStyle w:val="Odlomakpopisa"/>
        <w:numPr>
          <w:ilvl w:val="0"/>
          <w:numId w:val="2"/>
        </w:numPr>
        <w:jc w:val="both"/>
        <w:rPr>
          <w:bCs/>
          <w:color w:val="FF0000"/>
        </w:rPr>
      </w:pPr>
      <w:r w:rsidRPr="001435E1">
        <w:rPr>
          <w:b/>
        </w:rPr>
        <w:lastRenderedPageBreak/>
        <w:t>Potencijalne obveze po osnovi sudskih sporova -</w:t>
      </w:r>
      <w:r w:rsidRPr="001435E1">
        <w:rPr>
          <w:bCs/>
        </w:rPr>
        <w:t xml:space="preserve"> u izvještajnom razdoblju od 01. siječnja do 31. prosinca 2025. nema potencijalnih obveza po osnovi sudskih sporova.</w:t>
      </w:r>
      <w:r w:rsidRPr="001435E1">
        <w:rPr>
          <w:bCs/>
          <w:color w:val="FF0000"/>
        </w:rPr>
        <w:t xml:space="preserve"> </w:t>
      </w:r>
    </w:p>
    <w:p w14:paraId="51C94FD1" w14:textId="77777777" w:rsidR="00F7336B" w:rsidRPr="001435E1" w:rsidRDefault="00F7336B" w:rsidP="00F7336B">
      <w:pPr>
        <w:jc w:val="both"/>
        <w:rPr>
          <w:bCs/>
          <w:color w:val="FF0000"/>
          <w:szCs w:val="24"/>
        </w:rPr>
      </w:pPr>
    </w:p>
    <w:p w14:paraId="398ED35B" w14:textId="5679FC13" w:rsidR="00F7336B" w:rsidRPr="001435E1" w:rsidRDefault="00F7336B" w:rsidP="00F7336B">
      <w:pPr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Predlaže se Općinskom vijeću da razmotri prijedlog Odluke o godišnjem izvještaju o izvršenju Proračuna Općine Krapinske Toplice za 2025. godinu te da, nakon provedene rasprave, donese Odluku u predloženom tekstu.</w:t>
      </w:r>
    </w:p>
    <w:p w14:paraId="374F12D1" w14:textId="5FFF3BCD" w:rsidR="00F7336B" w:rsidRPr="001435E1" w:rsidRDefault="00F7336B" w:rsidP="00F7336B">
      <w:pPr>
        <w:spacing w:before="100" w:beforeAutospacing="1" w:after="100" w:afterAutospacing="1"/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Sukladno članku 91. stavku 2. Poslovnika o radu Općinskog vijeća Općine Krapinske Toplice, Odluka se donosi većinom glasova svih vijećnika.</w:t>
      </w:r>
    </w:p>
    <w:p w14:paraId="6F919DB6" w14:textId="77777777" w:rsidR="00F7336B" w:rsidRPr="001435E1" w:rsidRDefault="00F7336B" w:rsidP="00F7336B">
      <w:pPr>
        <w:jc w:val="both"/>
        <w:rPr>
          <w:rFonts w:eastAsia="Times New Roman"/>
          <w:szCs w:val="24"/>
          <w:lang w:eastAsia="hr-HR"/>
        </w:rPr>
      </w:pPr>
      <w:r w:rsidRPr="001435E1">
        <w:rPr>
          <w:rFonts w:eastAsia="Times New Roman"/>
          <w:szCs w:val="24"/>
          <w:lang w:eastAsia="hr-HR"/>
        </w:rPr>
        <w:t>FINANCIJSKA SREDSTVA POTREBNA ZA PROVEDBU ODLUKE: Za provedbu ove Odluke nije potrebno osigurati dodatna sredstva u Proračunu Općine Krapinske Toplice.</w:t>
      </w:r>
    </w:p>
    <w:p w14:paraId="405C3B64" w14:textId="77777777" w:rsidR="00F7336B" w:rsidRPr="001435E1" w:rsidRDefault="00F7336B" w:rsidP="00F7336B">
      <w:pPr>
        <w:jc w:val="both"/>
        <w:rPr>
          <w:rFonts w:eastAsia="Times New Roman"/>
          <w:szCs w:val="24"/>
          <w:lang w:eastAsia="hr-HR"/>
        </w:rPr>
      </w:pPr>
    </w:p>
    <w:p w14:paraId="274FC03E" w14:textId="77777777" w:rsidR="00F7336B" w:rsidRPr="001435E1" w:rsidRDefault="00F7336B" w:rsidP="00F7336B">
      <w:pPr>
        <w:jc w:val="both"/>
        <w:rPr>
          <w:bCs/>
          <w:color w:val="FF0000"/>
          <w:szCs w:val="24"/>
        </w:rPr>
      </w:pPr>
    </w:p>
    <w:p w14:paraId="6CF6049F" w14:textId="77777777" w:rsidR="00BC406C" w:rsidRPr="001435E1" w:rsidRDefault="00BC406C" w:rsidP="00BC406C">
      <w:pPr>
        <w:jc w:val="both"/>
        <w:rPr>
          <w:bCs/>
          <w:color w:val="FF0000"/>
          <w:szCs w:val="24"/>
        </w:rPr>
      </w:pPr>
    </w:p>
    <w:p w14:paraId="351C3921" w14:textId="77777777" w:rsidR="00BC406C" w:rsidRPr="001435E1" w:rsidRDefault="00BC406C" w:rsidP="00BC406C">
      <w:pPr>
        <w:jc w:val="both"/>
        <w:rPr>
          <w:b/>
          <w:szCs w:val="24"/>
        </w:rPr>
      </w:pP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Cs/>
          <w:color w:val="FF0000"/>
          <w:szCs w:val="24"/>
        </w:rPr>
        <w:tab/>
      </w:r>
      <w:r w:rsidRPr="001435E1">
        <w:rPr>
          <w:b/>
          <w:color w:val="FF0000"/>
          <w:szCs w:val="24"/>
        </w:rPr>
        <w:t xml:space="preserve">    </w:t>
      </w:r>
    </w:p>
    <w:p w14:paraId="16C87A16" w14:textId="77777777" w:rsidR="00BC406C" w:rsidRPr="001435E1" w:rsidRDefault="00BC406C" w:rsidP="00BC406C">
      <w:pPr>
        <w:jc w:val="right"/>
        <w:rPr>
          <w:bCs/>
          <w:szCs w:val="24"/>
        </w:rPr>
      </w:pPr>
      <w:r w:rsidRPr="001435E1">
        <w:rPr>
          <w:bCs/>
          <w:szCs w:val="24"/>
        </w:rPr>
        <w:t>OPĆINSKA NAČELNICA</w:t>
      </w:r>
    </w:p>
    <w:p w14:paraId="54EECACE" w14:textId="77777777" w:rsidR="000017F5" w:rsidRPr="001435E1" w:rsidRDefault="000017F5" w:rsidP="00BC406C">
      <w:pPr>
        <w:jc w:val="right"/>
        <w:rPr>
          <w:bCs/>
          <w:szCs w:val="24"/>
        </w:rPr>
      </w:pPr>
    </w:p>
    <w:p w14:paraId="24006254" w14:textId="77777777" w:rsidR="00BC406C" w:rsidRPr="001435E1" w:rsidRDefault="00BC406C" w:rsidP="00BC406C">
      <w:pPr>
        <w:ind w:left="6372"/>
        <w:rPr>
          <w:bCs/>
          <w:szCs w:val="24"/>
        </w:rPr>
      </w:pPr>
      <w:r w:rsidRPr="001435E1">
        <w:rPr>
          <w:bCs/>
          <w:szCs w:val="24"/>
        </w:rPr>
        <w:t xml:space="preserve">       Gordana Jureković</w:t>
      </w:r>
    </w:p>
    <w:p w14:paraId="29934592" w14:textId="77777777" w:rsidR="00276131" w:rsidRPr="00B92D0F" w:rsidRDefault="00276131" w:rsidP="00276131">
      <w:pPr>
        <w:spacing w:after="160" w:line="259" w:lineRule="auto"/>
        <w:rPr>
          <w:rFonts w:eastAsia="Times New Roman"/>
        </w:rPr>
      </w:pPr>
    </w:p>
    <w:p w14:paraId="1624A902" w14:textId="77777777" w:rsidR="00D707B3" w:rsidRPr="00767F8A" w:rsidRDefault="00D707B3" w:rsidP="00D707B3">
      <w:pPr>
        <w:jc w:val="right"/>
      </w:pPr>
    </w:p>
    <w:p w14:paraId="1774685A" w14:textId="77777777" w:rsidR="00D707B3" w:rsidRPr="00767F8A" w:rsidRDefault="00D707B3" w:rsidP="00D707B3"/>
    <w:p w14:paraId="67D40821" w14:textId="77777777" w:rsidR="00B92D0F" w:rsidRPr="00B92D0F" w:rsidRDefault="00B92D0F" w:rsidP="00B92D0F">
      <w:pPr>
        <w:spacing w:after="160" w:line="259" w:lineRule="auto"/>
        <w:rPr>
          <w:rFonts w:eastAsia="Times New Roman"/>
        </w:rPr>
      </w:pPr>
    </w:p>
    <w:p w14:paraId="4C48C61C" w14:textId="77777777" w:rsidR="008A562A" w:rsidRDefault="008A562A"/>
    <w:p w14:paraId="51375A9E" w14:textId="77777777" w:rsidR="007F33D8" w:rsidRDefault="007F33D8"/>
    <w:p w14:paraId="2EF8A08B" w14:textId="77777777" w:rsidR="007F33D8" w:rsidRDefault="007F33D8"/>
    <w:p w14:paraId="44B37419" w14:textId="77777777" w:rsidR="007F33D8" w:rsidRDefault="007F33D8"/>
    <w:p w14:paraId="5E1B34E2" w14:textId="77777777" w:rsidR="007F33D8" w:rsidRDefault="007F33D8"/>
    <w:p w14:paraId="2FF09444" w14:textId="77777777" w:rsidR="007F33D8" w:rsidRDefault="007F33D8"/>
    <w:p w14:paraId="0983AEED" w14:textId="77777777" w:rsidR="007F33D8" w:rsidRDefault="007F33D8"/>
    <w:p w14:paraId="23296EEA" w14:textId="77777777" w:rsidR="007F33D8" w:rsidRDefault="007F33D8"/>
    <w:p w14:paraId="5BBB5A41" w14:textId="77777777" w:rsidR="007F33D8" w:rsidRDefault="007F33D8"/>
    <w:p w14:paraId="5D5FB199" w14:textId="77777777" w:rsidR="007F33D8" w:rsidRDefault="007F33D8"/>
    <w:p w14:paraId="4FE1D1F4" w14:textId="77777777" w:rsidR="007F33D8" w:rsidRDefault="007F33D8"/>
    <w:p w14:paraId="2E7A719A" w14:textId="77777777" w:rsidR="007F33D8" w:rsidRDefault="007F33D8"/>
    <w:p w14:paraId="7BE22620" w14:textId="77777777" w:rsidR="007F33D8" w:rsidRDefault="007F33D8"/>
    <w:p w14:paraId="2610520B" w14:textId="77777777" w:rsidR="007F33D8" w:rsidRDefault="007F33D8"/>
    <w:p w14:paraId="33748A9D" w14:textId="77777777" w:rsidR="007F33D8" w:rsidRDefault="007F33D8"/>
    <w:p w14:paraId="42F68955" w14:textId="77777777" w:rsidR="007F33D8" w:rsidRDefault="007F33D8"/>
    <w:p w14:paraId="0E8B06B7" w14:textId="77777777" w:rsidR="007F33D8" w:rsidRDefault="007F33D8"/>
    <w:p w14:paraId="77FCCA44" w14:textId="77777777" w:rsidR="007F33D8" w:rsidRDefault="007F33D8"/>
    <w:p w14:paraId="6DBADE3C" w14:textId="77777777" w:rsidR="007F33D8" w:rsidRDefault="007F33D8"/>
    <w:p w14:paraId="71CD2ED1" w14:textId="77777777" w:rsidR="007F33D8" w:rsidRDefault="007F33D8"/>
    <w:p w14:paraId="31F9F341" w14:textId="77777777" w:rsidR="007F33D8" w:rsidRDefault="007F33D8"/>
    <w:p w14:paraId="600D722E" w14:textId="77777777" w:rsidR="007F33D8" w:rsidRDefault="007F33D8"/>
    <w:p w14:paraId="48F7AFD4" w14:textId="77777777" w:rsidR="007F33D8" w:rsidRDefault="007F33D8"/>
    <w:p w14:paraId="4AE111F5" w14:textId="61213A3F" w:rsidR="007F33D8" w:rsidRDefault="007F33D8">
      <w:r>
        <w:t xml:space="preserve">Prilog: </w:t>
      </w:r>
    </w:p>
    <w:p w14:paraId="255F8FBB" w14:textId="656EF25C" w:rsidR="007F33D8" w:rsidRPr="00785F4F" w:rsidRDefault="00272104" w:rsidP="007F33D8">
      <w:pPr>
        <w:pStyle w:val="Odlomakpopisa"/>
        <w:numPr>
          <w:ilvl w:val="3"/>
          <w:numId w:val="2"/>
        </w:numPr>
        <w:ind w:left="0" w:firstLine="0"/>
        <w:jc w:val="both"/>
      </w:pPr>
      <w:r>
        <w:t xml:space="preserve">Prijedlog </w:t>
      </w:r>
      <w:r w:rsidR="007F33D8">
        <w:t>Godišnj</w:t>
      </w:r>
      <w:r>
        <w:t>eg</w:t>
      </w:r>
      <w:r w:rsidR="007F33D8">
        <w:t xml:space="preserve"> izvještaj</w:t>
      </w:r>
      <w:r>
        <w:t>a</w:t>
      </w:r>
      <w:r w:rsidR="007F33D8">
        <w:t xml:space="preserve"> o izvršenju proračuna Općine Krapinske Toplice za razdoblje od 01.01.2025.-31.12.2025.</w:t>
      </w:r>
    </w:p>
    <w:sectPr w:rsidR="007F33D8" w:rsidRPr="00785F4F" w:rsidSect="000017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IDFont+F2">
    <w:altName w:val="Cambria"/>
    <w:charset w:val="00"/>
    <w:family w:val="roman"/>
    <w:pitch w:val="default"/>
    <w:sig w:usb0="00000000" w:usb1="00000000" w:usb2="00000000" w:usb3="00000000" w:csb0="00040001" w:csb1="00000000"/>
  </w:font>
  <w:font w:name="CIDFont+F3">
    <w:altName w:val="Cambria"/>
    <w:charset w:val="00"/>
    <w:family w:val="roman"/>
    <w:pitch w:val="default"/>
    <w:sig w:usb0="00000000" w:usb1="00000000" w:usb2="00000000" w:usb3="00000000" w:csb0="00040001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3"/>
    <w:multiLevelType w:val="singleLevel"/>
    <w:tmpl w:val="63A65720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1" w15:restartNumberingAfterBreak="0">
    <w:nsid w:val="4046792E"/>
    <w:multiLevelType w:val="multilevel"/>
    <w:tmpl w:val="493604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43F54081"/>
    <w:multiLevelType w:val="hybridMultilevel"/>
    <w:tmpl w:val="C09A764A"/>
    <w:lvl w:ilvl="0" w:tplc="041A000F">
      <w:start w:val="1"/>
      <w:numFmt w:val="decimal"/>
      <w:lvlText w:val="%1."/>
      <w:lvlJc w:val="left"/>
      <w:pPr>
        <w:ind w:left="502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2B5A0B"/>
    <w:multiLevelType w:val="multilevel"/>
    <w:tmpl w:val="E85E15D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392119123">
    <w:abstractNumId w:val="0"/>
  </w:num>
  <w:num w:numId="2" w16cid:durableId="381250146">
    <w:abstractNumId w:val="3"/>
  </w:num>
  <w:num w:numId="3" w16cid:durableId="2103522689">
    <w:abstractNumId w:val="1"/>
  </w:num>
  <w:num w:numId="4" w16cid:durableId="16172540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17F5"/>
    <w:rsid w:val="000222EC"/>
    <w:rsid w:val="00044EEA"/>
    <w:rsid w:val="00073E82"/>
    <w:rsid w:val="000B33F9"/>
    <w:rsid w:val="000E75B8"/>
    <w:rsid w:val="001435E1"/>
    <w:rsid w:val="002120D1"/>
    <w:rsid w:val="00272104"/>
    <w:rsid w:val="00276131"/>
    <w:rsid w:val="0042081B"/>
    <w:rsid w:val="0047206B"/>
    <w:rsid w:val="00615CFD"/>
    <w:rsid w:val="00620325"/>
    <w:rsid w:val="0068186E"/>
    <w:rsid w:val="00693AB1"/>
    <w:rsid w:val="006C6D02"/>
    <w:rsid w:val="0075143F"/>
    <w:rsid w:val="00767F8A"/>
    <w:rsid w:val="00785F4F"/>
    <w:rsid w:val="007F33D8"/>
    <w:rsid w:val="00810FF6"/>
    <w:rsid w:val="008A562A"/>
    <w:rsid w:val="008C5FE5"/>
    <w:rsid w:val="008E6FC9"/>
    <w:rsid w:val="00921557"/>
    <w:rsid w:val="00A836D0"/>
    <w:rsid w:val="00AC35DA"/>
    <w:rsid w:val="00AF21A3"/>
    <w:rsid w:val="00AF4993"/>
    <w:rsid w:val="00B82554"/>
    <w:rsid w:val="00B92D0F"/>
    <w:rsid w:val="00BC406C"/>
    <w:rsid w:val="00C9578C"/>
    <w:rsid w:val="00D12504"/>
    <w:rsid w:val="00D707B3"/>
    <w:rsid w:val="00E060DF"/>
    <w:rsid w:val="00E377AE"/>
    <w:rsid w:val="00E43228"/>
    <w:rsid w:val="00F7336B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F6DD81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qFormat/>
    <w:rsid w:val="00BC406C"/>
    <w:pPr>
      <w:keepNext/>
      <w:jc w:val="both"/>
      <w:outlineLvl w:val="0"/>
    </w:pPr>
    <w:rPr>
      <w:rFonts w:eastAsia="SimSun"/>
      <w:b/>
      <w:bCs/>
      <w:szCs w:val="24"/>
      <w:lang w:eastAsia="hr-HR"/>
    </w:rPr>
  </w:style>
  <w:style w:type="paragraph" w:styleId="Naslov2">
    <w:name w:val="heading 2"/>
    <w:basedOn w:val="Normal"/>
    <w:next w:val="Normal"/>
    <w:link w:val="Naslov2Char"/>
    <w:qFormat/>
    <w:rsid w:val="00BC406C"/>
    <w:pPr>
      <w:keepNext/>
      <w:jc w:val="center"/>
      <w:outlineLvl w:val="1"/>
    </w:pPr>
    <w:rPr>
      <w:rFonts w:eastAsia="SimSun"/>
      <w:b/>
      <w:bCs/>
      <w:szCs w:val="24"/>
      <w:lang w:eastAsia="hr-HR"/>
    </w:rPr>
  </w:style>
  <w:style w:type="paragraph" w:styleId="Naslov3">
    <w:name w:val="heading 3"/>
    <w:basedOn w:val="Normal"/>
    <w:next w:val="Normal"/>
    <w:link w:val="Naslov3Char"/>
    <w:qFormat/>
    <w:rsid w:val="00BC406C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BC406C"/>
    <w:rPr>
      <w:rFonts w:eastAsia="SimSun"/>
      <w:b/>
      <w:bCs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BC406C"/>
    <w:rPr>
      <w:rFonts w:eastAsia="SimSun"/>
      <w:b/>
      <w:bCs/>
      <w:szCs w:val="24"/>
      <w:lang w:eastAsia="hr-HR"/>
    </w:rPr>
  </w:style>
  <w:style w:type="character" w:customStyle="1" w:styleId="Naslov3Char">
    <w:name w:val="Naslov 3 Char"/>
    <w:basedOn w:val="Zadanifontodlomka"/>
    <w:link w:val="Naslov3"/>
    <w:rsid w:val="00BC406C"/>
    <w:rPr>
      <w:rFonts w:ascii="Calibri Light" w:eastAsia="Times New Roman" w:hAnsi="Calibri Light"/>
      <w:b/>
      <w:bCs/>
      <w:sz w:val="26"/>
      <w:szCs w:val="26"/>
      <w:lang w:eastAsia="hr-HR"/>
    </w:rPr>
  </w:style>
  <w:style w:type="paragraph" w:styleId="Tijeloteksta">
    <w:name w:val="Body Text"/>
    <w:basedOn w:val="Normal"/>
    <w:link w:val="TijelotekstaChar"/>
    <w:rsid w:val="00BC406C"/>
    <w:pPr>
      <w:jc w:val="both"/>
    </w:pPr>
    <w:rPr>
      <w:rFonts w:eastAsia="SimSun"/>
      <w:szCs w:val="24"/>
      <w:lang w:eastAsia="hr-HR"/>
    </w:rPr>
  </w:style>
  <w:style w:type="character" w:customStyle="1" w:styleId="TijelotekstaChar">
    <w:name w:val="Tijelo teksta Char"/>
    <w:basedOn w:val="Zadanifontodlomka"/>
    <w:link w:val="Tijeloteksta"/>
    <w:rsid w:val="00BC406C"/>
    <w:rPr>
      <w:rFonts w:eastAsia="SimSun"/>
      <w:szCs w:val="24"/>
      <w:lang w:eastAsia="hr-HR"/>
    </w:rPr>
  </w:style>
  <w:style w:type="paragraph" w:styleId="Tijeloteksta2">
    <w:name w:val="Body Text 2"/>
    <w:basedOn w:val="Normal"/>
    <w:link w:val="Tijeloteksta2Char"/>
    <w:rsid w:val="00BC406C"/>
    <w:pPr>
      <w:jc w:val="both"/>
    </w:pPr>
    <w:rPr>
      <w:rFonts w:eastAsia="SimSun"/>
      <w:b/>
      <w:bCs/>
      <w:szCs w:val="24"/>
      <w:lang w:eastAsia="hr-HR"/>
    </w:rPr>
  </w:style>
  <w:style w:type="character" w:customStyle="1" w:styleId="Tijeloteksta2Char">
    <w:name w:val="Tijelo teksta 2 Char"/>
    <w:basedOn w:val="Zadanifontodlomka"/>
    <w:link w:val="Tijeloteksta2"/>
    <w:rsid w:val="00BC406C"/>
    <w:rPr>
      <w:rFonts w:eastAsia="SimSun"/>
      <w:b/>
      <w:bCs/>
      <w:szCs w:val="24"/>
      <w:lang w:eastAsia="hr-HR"/>
    </w:rPr>
  </w:style>
  <w:style w:type="paragraph" w:styleId="Uvuenotijeloteksta">
    <w:name w:val="Body Text Indent"/>
    <w:basedOn w:val="Normal"/>
    <w:link w:val="UvuenotijelotekstaChar"/>
    <w:rsid w:val="00BC406C"/>
    <w:pPr>
      <w:ind w:firstLine="708"/>
      <w:jc w:val="both"/>
    </w:pPr>
    <w:rPr>
      <w:rFonts w:eastAsia="SimSun"/>
      <w:szCs w:val="24"/>
      <w:lang w:eastAsia="hr-HR"/>
    </w:rPr>
  </w:style>
  <w:style w:type="character" w:customStyle="1" w:styleId="UvuenotijelotekstaChar">
    <w:name w:val="Uvučeno tijelo teksta Char"/>
    <w:basedOn w:val="Zadanifontodlomka"/>
    <w:link w:val="Uvuenotijeloteksta"/>
    <w:rsid w:val="00BC406C"/>
    <w:rPr>
      <w:rFonts w:eastAsia="SimSun"/>
      <w:szCs w:val="24"/>
      <w:lang w:eastAsia="hr-HR"/>
    </w:rPr>
  </w:style>
  <w:style w:type="paragraph" w:styleId="Tijeloteksta-uvlaka2">
    <w:name w:val="Body Text Indent 2"/>
    <w:basedOn w:val="Normal"/>
    <w:link w:val="Tijeloteksta-uvlaka2Char"/>
    <w:rsid w:val="00BC406C"/>
    <w:pPr>
      <w:ind w:left="-360"/>
      <w:jc w:val="both"/>
    </w:pPr>
    <w:rPr>
      <w:rFonts w:eastAsia="SimSun"/>
      <w:szCs w:val="24"/>
      <w:lang w:eastAsia="hr-HR"/>
    </w:rPr>
  </w:style>
  <w:style w:type="character" w:customStyle="1" w:styleId="Tijeloteksta-uvlaka2Char">
    <w:name w:val="Tijelo teksta - uvlaka 2 Char"/>
    <w:basedOn w:val="Zadanifontodlomka"/>
    <w:link w:val="Tijeloteksta-uvlaka2"/>
    <w:rsid w:val="00BC406C"/>
    <w:rPr>
      <w:rFonts w:eastAsia="SimSun"/>
      <w:szCs w:val="24"/>
      <w:lang w:eastAsia="hr-HR"/>
    </w:rPr>
  </w:style>
  <w:style w:type="paragraph" w:styleId="Tijeloteksta-uvlaka3">
    <w:name w:val="Body Text Indent 3"/>
    <w:basedOn w:val="Normal"/>
    <w:link w:val="Tijeloteksta-uvlaka3Char"/>
    <w:rsid w:val="00BC406C"/>
    <w:pPr>
      <w:ind w:left="360"/>
      <w:jc w:val="both"/>
    </w:pPr>
    <w:rPr>
      <w:rFonts w:eastAsia="SimSun"/>
      <w:b/>
      <w:bCs/>
      <w:szCs w:val="24"/>
      <w:lang w:eastAsia="hr-HR"/>
    </w:rPr>
  </w:style>
  <w:style w:type="character" w:customStyle="1" w:styleId="Tijeloteksta-uvlaka3Char">
    <w:name w:val="Tijelo teksta - uvlaka 3 Char"/>
    <w:basedOn w:val="Zadanifontodlomka"/>
    <w:link w:val="Tijeloteksta-uvlaka3"/>
    <w:rsid w:val="00BC406C"/>
    <w:rPr>
      <w:rFonts w:eastAsia="SimSun"/>
      <w:b/>
      <w:bCs/>
      <w:szCs w:val="24"/>
      <w:lang w:eastAsia="hr-HR"/>
    </w:rPr>
  </w:style>
  <w:style w:type="character" w:styleId="SlijeenaHiperveza">
    <w:name w:val="FollowedHyperlink"/>
    <w:rsid w:val="00BC406C"/>
    <w:rPr>
      <w:color w:val="954F72"/>
      <w:u w:val="single"/>
    </w:rPr>
  </w:style>
  <w:style w:type="paragraph" w:styleId="Podnoje">
    <w:name w:val="footer"/>
    <w:basedOn w:val="Normal"/>
    <w:link w:val="PodnojeChar"/>
    <w:rsid w:val="00BC406C"/>
    <w:pPr>
      <w:tabs>
        <w:tab w:val="center" w:pos="4153"/>
        <w:tab w:val="right" w:pos="8306"/>
      </w:tabs>
    </w:pPr>
    <w:rPr>
      <w:rFonts w:eastAsia="SimSun"/>
      <w:szCs w:val="24"/>
      <w:lang w:eastAsia="hr-HR"/>
    </w:rPr>
  </w:style>
  <w:style w:type="character" w:customStyle="1" w:styleId="PodnojeChar">
    <w:name w:val="Podnožje Char"/>
    <w:basedOn w:val="Zadanifontodlomka"/>
    <w:link w:val="Podnoje"/>
    <w:rsid w:val="00BC406C"/>
    <w:rPr>
      <w:rFonts w:eastAsia="SimSun"/>
      <w:szCs w:val="24"/>
      <w:lang w:eastAsia="hr-HR"/>
    </w:rPr>
  </w:style>
  <w:style w:type="paragraph" w:styleId="Zaglavlje">
    <w:name w:val="header"/>
    <w:basedOn w:val="Normal"/>
    <w:link w:val="ZaglavljeChar"/>
    <w:rsid w:val="00BC406C"/>
    <w:pPr>
      <w:tabs>
        <w:tab w:val="center" w:pos="4536"/>
        <w:tab w:val="right" w:pos="9072"/>
      </w:tabs>
    </w:pPr>
    <w:rPr>
      <w:rFonts w:eastAsia="SimSun"/>
      <w:szCs w:val="24"/>
      <w:lang w:eastAsia="hr-HR"/>
    </w:rPr>
  </w:style>
  <w:style w:type="character" w:customStyle="1" w:styleId="ZaglavljeChar">
    <w:name w:val="Zaglavlje Char"/>
    <w:basedOn w:val="Zadanifontodlomka"/>
    <w:link w:val="Zaglavlje"/>
    <w:rsid w:val="00BC406C"/>
    <w:rPr>
      <w:rFonts w:eastAsia="SimSun"/>
      <w:szCs w:val="24"/>
      <w:lang w:eastAsia="hr-HR"/>
    </w:rPr>
  </w:style>
  <w:style w:type="paragraph" w:styleId="StandardWeb">
    <w:name w:val="Normal (Web)"/>
    <w:basedOn w:val="Normal"/>
    <w:uiPriority w:val="99"/>
    <w:unhideWhenUsed/>
    <w:rsid w:val="00BC406C"/>
    <w:pPr>
      <w:spacing w:before="100" w:beforeAutospacing="1" w:after="100" w:afterAutospacing="1"/>
    </w:pPr>
    <w:rPr>
      <w:rFonts w:eastAsia="SimSun"/>
      <w:szCs w:val="24"/>
      <w:lang w:eastAsia="hr-HR"/>
    </w:rPr>
  </w:style>
  <w:style w:type="character" w:styleId="Brojstranice">
    <w:name w:val="page number"/>
    <w:rsid w:val="00BC406C"/>
  </w:style>
  <w:style w:type="paragraph" w:styleId="Odlomakpopisa">
    <w:name w:val="List Paragraph"/>
    <w:basedOn w:val="Normal"/>
    <w:uiPriority w:val="34"/>
    <w:qFormat/>
    <w:rsid w:val="00BC406C"/>
    <w:pPr>
      <w:ind w:left="708"/>
    </w:pPr>
    <w:rPr>
      <w:rFonts w:eastAsia="SimSun"/>
      <w:szCs w:val="24"/>
      <w:lang w:eastAsia="hr-HR"/>
    </w:rPr>
  </w:style>
  <w:style w:type="table" w:customStyle="1" w:styleId="Reetkatablice1">
    <w:name w:val="Rešetka tablice1"/>
    <w:basedOn w:val="Obinatablica"/>
    <w:uiPriority w:val="39"/>
    <w:rsid w:val="00BC406C"/>
    <w:rPr>
      <w:rFonts w:ascii="Calibri" w:eastAsia="Calibri" w:hAnsi="Calibri"/>
      <w:sz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rsid w:val="00BC406C"/>
    <w:rPr>
      <w:rFonts w:ascii="CIDFont+F2" w:hAnsi="CIDFont+F2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rsid w:val="00BC406C"/>
    <w:rPr>
      <w:rFonts w:ascii="CIDFont+F3" w:hAnsi="CIDFont+F3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Odlomakpopisa1">
    <w:name w:val="Odlomak popisa1"/>
    <w:basedOn w:val="Normal"/>
    <w:rsid w:val="00BC406C"/>
    <w:pPr>
      <w:suppressAutoHyphens/>
      <w:spacing w:after="160"/>
      <w:ind w:left="720"/>
      <w:textAlignment w:val="baseline"/>
    </w:pPr>
    <w:rPr>
      <w:rFonts w:ascii="Calibri" w:eastAsia="Calibri" w:hAnsi="Calibri"/>
      <w:sz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8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13</Pages>
  <Words>5396</Words>
  <Characters>30760</Characters>
  <Application>Microsoft Office Word</Application>
  <DocSecurity>0</DocSecurity>
  <Lines>256</Lines>
  <Paragraphs>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Nikolina Šoštarić</cp:lastModifiedBy>
  <cp:revision>13</cp:revision>
  <cp:lastPrinted>2014-11-26T14:09:00Z</cp:lastPrinted>
  <dcterms:created xsi:type="dcterms:W3CDTF">2025-05-26T10:19:00Z</dcterms:created>
  <dcterms:modified xsi:type="dcterms:W3CDTF">2026-05-21T08:04:00Z</dcterms:modified>
</cp:coreProperties>
</file>