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cd7ac2b51044a4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37687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KRAPINSKE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2.894.281,42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3.447.505,06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1.692.420,01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2.513.294,09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1.201.861,41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934.210,97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592.357,76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2.087.330,33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592.345,21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2.086.038,33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120.843,39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32.258,73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120.843,39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32.258,73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1.184.086,09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Ukupni prihodi i primici Općine Krapinske Toplice ostvareni u razdoblju od 1. siječnja od 30. rujna 2025. godine iznosili su 3.448.797,06 €, odnosno 19,2% više nego prethodne 2024. godine. Na rast prihoda poslovanja u promatranom razdoblju najvećim je dijelom utjecalo uvećanje prihoda od poreza na dohodak, pomoći od izvanproračunskih korisnika, pomoći fiskalnog izravnanja te pomoći temeljem prijenosa EU sredstava. Prihodi od prodaje nefinancijske imovine su ostvareni u razdoblju od siječnja do rujna ove godine u iznosu 1.292,00  €, a odnose se na prodaju kombi vozila. Ukupni rashodi i izdaci su iznosili 4.632.883,15 € što je za 92,6% ili 2.227.261,99 € više rashoda nego prošle godine. Rashodi poslovanja su rasli, a na to su utjecali povećanje rashoda za plaće zaposlenika, povećanje materijalnih rashoda, povećanje subvencija, rashoda za ostale naknade građanima i kućanstvima i rashoda za tekuće donacije. Rashodi za nabavu nefinancijske imovine iznose 2.087.330,33 €, odnosno uvećani su za 252,4%. Ostvaren je manjak prihoda i primitaka u iznosu od 1.184.086,09 €. Manjak prihoda iz prethodnog razdoblja iznosi 471.533,82 €, tako da se u sljedeće razdoblje prenosi manjak u iznosu od 1.655.619,91 €.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2.158.242,99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2.525.014,50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pPr>
        <w:jc w:val="both"/>
        <w:pStyle w:val="Normal"/>
        <w:spacing w:line="240" w:lineRule="auto"/>
      </w:pPr>
      <w:r>
        <w:rPr>
          <w:sz w:val="24"/>
          <w:rFonts w:ascii="Times New Roman" w:hAnsi="Times New Roman"/>
        </w:rPr>
        <w:t>Prihodi od poreza na dohodak u razdoblju od 1. siječnja do 30. rujna 2025. godine ostvareni su u iznosu od 2.525.014,50 €, odnosno 17% ili 366.771,51 € više u odnosu na iste prihode ostvarene u promatranom razdoblju 2024. godine. Na rast prihoda od poreza na dohodak je najviše utjecalo povećanje prihoda od poreza na dohodak od nesamostalnog rada za 10,1% zbog povećanja plaća stanovnika na području Općine.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189.577,21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164.081,51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w:t>
            </w:r>
          </w:p>
        </w:tc>
      </w:tr>
    </w:tbl>
    <w:p>
      <w:pPr>
        <w:spacing w:before="0" w:after="0"/>
      </w:pPr>
    </w:p>
    <w:p>
      <w:pPr>
        <w:jc w:val="both"/>
        <w:pStyle w:val="Normal"/>
        <w:spacing w:line="240" w:lineRule="auto"/>
      </w:pPr>
      <w:r>
        <w:rPr>
          <w:sz w:val="24"/>
          <w:rFonts w:ascii="Times New Roman" w:hAnsi="Times New Roman"/>
        </w:rPr>
        <w:t>Prihodi od poreza na imovinu u razdoblju od 1. siječnja do 30. rujna 2025. godine ostvareni su u iznosu od 164.081,51 €, odnosno 13,4% ili 25.495,70 € manje u odnosu na iste prihode ostvarene u promatranom razdoblju 2024. godine. Na smanjenje prihoda od poreza na imovinu je utjecalo smanjenje stalnih poreza na nepokretnu imovinu (porez na kuće za odmor) za 21,4% i povremenih poreza na imovinu (porez na promet nekretnina) za 10,5%. Do smanjenja prihoda od povremenih poreza na imovinu došlo je zbog smanjene kupoprodaje nekretnina na tržištu, a do stalnih poreza na nepokretnu imovinu zbog promjene poreza i izmjene rješenja koja još nisu izdana.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25.194,64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bl>
    <w:p>
      <w:pPr>
        <w:spacing w:before="0" w:after="0"/>
      </w:pPr>
    </w:p>
    <w:p>
      <w:pPr>
        <w:jc w:val="both"/>
        <w:pStyle w:val="Normal"/>
        <w:spacing w:line="240" w:lineRule="auto"/>
      </w:pPr>
      <w:r>
        <w:rPr>
          <w:sz w:val="24"/>
          <w:rFonts w:ascii="Times New Roman" w:hAnsi="Times New Roman"/>
        </w:rPr>
        <w:t>Prihodi od poreza na robu i usluge u razdoblju od 1. siječnja do 30. rujna 2025. godine ostvareni su u iznosu od 25.194,64 €, odnosno 5,2% ili 1.249,93 € više u odnosu na iste prihode ostvarene u promatranom razdoblju 2024. godine. Na povećanje prihoda od poreza na robu i usluge utjecalo je povećanje poreza na promet za 5,20% koji podrazumijeva porez na potrošnju alkoholnih i bezalkoholnih pića što ukazuje na bolji rad ugostiteljskih objekata.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79.108,28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w:t>
            </w:r>
          </w:p>
        </w:tc>
      </w:tr>
    </w:tbl>
    <w:p>
      <w:pPr>
        <w:spacing w:before="0" w:after="0"/>
      </w:pPr>
    </w:p>
    <w:p>
      <w:pPr>
        <w:jc w:val="both"/>
        <w:pStyle w:val="Normal"/>
        <w:spacing w:line="240" w:lineRule="auto"/>
      </w:pPr>
      <w:r>
        <w:rPr>
          <w:sz w:val="24"/>
          <w:rFonts w:ascii="Times New Roman" w:hAnsi="Times New Roman"/>
        </w:rPr>
        <w:t>Prihodi od pomoći proračunu i izvanproračunskim korisnicima iz drugih proračuna u razdoblju od 1. siječnja do 30. rujna 2025. godine ostvareni su u iznosu od 2.570,02 €, odnosno 96,8% ili 76.538,26 € manje u odnosu na prihode od pomoći ostvarene u istom razdoblju 2024. godine. Prihodi se odnose na prihode za funkcionalno spajanje JLS-a.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79.967,52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947,4</w:t>
            </w:r>
          </w:p>
        </w:tc>
      </w:tr>
    </w:tbl>
    <w:p>
      <w:pPr>
        <w:spacing w:before="0" w:after="0"/>
      </w:pPr>
    </w:p>
    <w:p>
      <w:pPr>
        <w:jc w:val="both"/>
        <w:pStyle w:val="Normal"/>
        <w:spacing w:line="240" w:lineRule="auto"/>
      </w:pPr>
      <w:r>
        <w:rPr>
          <w:sz w:val="24"/>
          <w:rFonts w:ascii="Times New Roman" w:hAnsi="Times New Roman"/>
        </w:rPr>
        <w:t>Prihodi od pomoći od izvanroračunskih korisnika u razdoblju od 1. siječnja do 30. rujna 2025. godine ostvareni su u iznosu od 79.967,52 €, odnosno 847,4% ili 71.527,18 € više u odnosu na prihode od pomoći ostvarene u istom razdoblju 2024. godine. Rast prihoda od pomoći u promatranom razdoblju odnosi se na prihode od Hrvatskog zavoda za zapošljavanje, a vezano uz provođenje projekta Zaželi za Krapinske Toplice putem Europskog socijalnog fonda plus.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od pomoći fiskalnog izravnanja u razdoblju od 1. siječnja do 30. rujna 2025. godine ostvareni su u iznosu od 60.984,00 € te nisu bili ostvareni u istom razdoblju 2024. godine. Navedena pomoć odnosi se na fiskalnu održivost dječjih vrtića.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401.621,32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r>
    </w:tbl>
    <w:p>
      <w:pPr>
        <w:spacing w:before="0" w:after="0"/>
      </w:pPr>
    </w:p>
    <w:p>
      <w:pPr>
        <w:jc w:val="both"/>
        <w:pStyle w:val="Normal"/>
        <w:spacing w:line="240" w:lineRule="auto"/>
      </w:pPr>
      <w:r>
        <w:rPr>
          <w:sz w:val="24"/>
          <w:rFonts w:ascii="Times New Roman" w:hAnsi="Times New Roman"/>
        </w:rPr>
        <w:t>Prihodi od pomoći temeljem prijenosa EU sredstava u razdoblju od 1. siječnja do 30. rujna 2025. godine ostvareni su u iznosu od 401.621,32 € tj. za 33,9% su veći nego u istom razdoblju 2024. godine. Odnose se na kapitalne pomoći iz državog proračuna temeljem prijenosa EU sredstava, tj. na predujam Ministarstva regionalnog razvoja i fondova EU za projekt „Toplice kulture“.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bl>
    <w:p>
      <w:pPr>
        <w:spacing w:before="0" w:after="0"/>
      </w:pPr>
    </w:p>
    <w:p>
      <w:pPr>
        <w:jc w:val="both"/>
        <w:pStyle w:val="Normal"/>
        <w:spacing w:line="240" w:lineRule="auto"/>
      </w:pPr>
      <w:r>
        <w:rPr>
          <w:sz w:val="24"/>
          <w:rFonts w:ascii="Times New Roman" w:hAnsi="Times New Roman"/>
        </w:rPr>
        <w:t>Prihodi od nefinancijske imovine u razdoblju od 1. siječnja do 30. rujna 2025. godine ostvareni su u iznosu od 11.155,67 €, odnosno 36,89% ili 3.000,70 € više u odnosu na prihode od nefinancijske imovine ostvarene u istom razdoblju 2024. godine. Na rast tih prihoda u promatranom razdoblju je utjecalo povećanje prihoda od naknade za koncesije i naknada za korištenje nefinancijske imovine (spomenička renta). Jedino ostali prihodi od nefinancijske imovine bilježe smanjenje i to prihodi od legalizacije.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22.729,28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22.457,25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w:t>
            </w:r>
          </w:p>
        </w:tc>
      </w:tr>
    </w:tbl>
    <w:p>
      <w:pPr>
        <w:spacing w:before="0" w:after="0"/>
      </w:pPr>
    </w:p>
    <w:p>
      <w:pPr>
        <w:jc w:val="both"/>
        <w:pStyle w:val="Normal"/>
        <w:spacing w:line="240" w:lineRule="auto"/>
      </w:pPr>
      <w:r>
        <w:rPr>
          <w:sz w:val="24"/>
          <w:rFonts w:ascii="Times New Roman" w:hAnsi="Times New Roman"/>
        </w:rPr>
        <w:t>Prihodi od upravnih i administrativnih pristojbi u razdoblju od 1. siječnja do 30. rujna 2025. godine ostvareni su u iznosu od 22.457,25 €, odnosno 1,2% manje u odnosu na iste prihode ostvarene u promatranom razdoblju 2024. godine. Na smanjenje prihoda utjecalo je smanjenje uplata ostalih pristojbi i naknada tj. smanjenje uplata turističke pristojbe.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6546,3</w:t>
            </w:r>
          </w:p>
        </w:tc>
      </w:tr>
    </w:tbl>
    <w:p>
      <w:pPr>
        <w:spacing w:before="0" w:after="0"/>
      </w:pPr>
    </w:p>
    <w:p>
      <w:pPr>
        <w:jc w:val="both"/>
        <w:pStyle w:val="Normal"/>
        <w:spacing w:line="240" w:lineRule="auto"/>
      </w:pPr>
      <w:r>
        <w:rPr>
          <w:sz w:val="24"/>
          <w:rFonts w:ascii="Times New Roman" w:hAnsi="Times New Roman"/>
        </w:rPr>
        <w:t>Prihodi po posebnim propisima u razdoblju od 1. siječnja do 30. rujna 2025. godine ostvareni su u iznosu od 9.681,96 €, a odnose se na ostale nespomenute prihode (povrat preplaćenih sredstava dobavljaču) koji su u prethodnom razdoblju bili ostvareni u iznosu 147,90 €.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100.322,09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140.294,60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w:t>
            </w:r>
          </w:p>
        </w:tc>
      </w:tr>
    </w:tbl>
    <w:p>
      <w:pPr>
        <w:spacing w:before="0" w:after="0"/>
      </w:pPr>
    </w:p>
    <w:p>
      <w:pPr>
        <w:jc w:val="both"/>
        <w:pStyle w:val="Normal"/>
        <w:spacing w:line="240" w:lineRule="auto"/>
      </w:pPr>
      <w:r>
        <w:rPr>
          <w:sz w:val="24"/>
          <w:rFonts w:ascii="Times New Roman" w:hAnsi="Times New Roman"/>
        </w:rPr>
        <w:t>Prihodi od komunalnih doprinosa i naknade u razdoblju od 1. siječnja do 30. rujna 2025. godine ostvareni su u iznosu od 140.294,60 €, odnosno  39,8% ili 39.972,51 € više u odnosu na iste prihode ostvarene u promatranom razdoblju 2024. godine. Na povećanje navedenih prihoda utjecalo je povećanje prihoda od komunalne naknade za 45,3% tj. za 35.806,06 € i povećanje prihoda od komunalnih doprinosa za 19,5% tj. za  ostvareni su u iznosu od 21.030,35 €, odnosno 25,6% ili 4.166,45 € više u odnosu na isto razdoblje prošle godine.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90.757,35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281.025,21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309,6</w:t>
            </w:r>
          </w:p>
        </w:tc>
      </w:tr>
    </w:tbl>
    <w:p>
      <w:pPr>
        <w:spacing w:before="0" w:after="0"/>
      </w:pPr>
    </w:p>
    <w:p>
      <w:pPr>
        <w:jc w:val="both"/>
        <w:pStyle w:val="Normal"/>
        <w:spacing w:line="240" w:lineRule="auto"/>
      </w:pPr>
      <w:r>
        <w:rPr>
          <w:sz w:val="24"/>
          <w:rFonts w:ascii="Times New Roman" w:hAnsi="Times New Roman"/>
        </w:rPr>
        <w:t>Rashodi za plaće zaposlenika u razdoblju od 1. siječnja do 30. rujna 2025. godine ostvareni su u iznosu od 281.025,21 €, odnosno 209,6% ili 190.267,86 € više u odnosu na rashode za plaće ostvarene u istom razdoblju 2024. godine. Na rast u promatranom razdoblju je utjecalo uvećanje rashoda za plaće za redovan rad zbog povećanja osnovice za izračun plaće i zapošljavanja novih službenika.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w:t>
            </w:r>
          </w:p>
        </w:tc>
      </w:tr>
    </w:tbl>
    <w:p>
      <w:pPr>
        <w:spacing w:before="0" w:after="0"/>
      </w:pPr>
    </w:p>
    <w:p>
      <w:pPr>
        <w:jc w:val="both"/>
        <w:pStyle w:val="Normal"/>
        <w:spacing w:line="240" w:lineRule="auto"/>
      </w:pPr>
      <w:r>
        <w:rPr>
          <w:sz w:val="24"/>
          <w:rFonts w:ascii="Times New Roman" w:hAnsi="Times New Roman"/>
        </w:rPr>
        <w:t>Naknade troškova zaposlenima u razdoblju od 1. siječnja do 30. rujna 2025. godine ostvareni su u iznosu od 20.864,18 €, odnosno 51,4% ili 7.081,69 € više u odnosu na iste rashode ostvarene u promatranom razdoblju 2024. godine. Na rast navedenih rashoda utjecalo je povećanje rashoda za službena putovanja te naknade za prijevoz zbog preseljenja službenika i zaposlenja dodatnih službenika.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47.111,66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87.943,65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186,7</w:t>
            </w:r>
          </w:p>
        </w:tc>
      </w:tr>
    </w:tbl>
    <w:p>
      <w:pPr>
        <w:spacing w:before="0" w:after="0"/>
      </w:pPr>
    </w:p>
    <w:p>
      <w:pPr>
        <w:jc w:val="both"/>
        <w:pStyle w:val="Normal"/>
        <w:spacing w:line="240" w:lineRule="auto"/>
      </w:pPr>
      <w:r>
        <w:rPr>
          <w:sz w:val="24"/>
          <w:rFonts w:ascii="Times New Roman" w:hAnsi="Times New Roman"/>
        </w:rPr>
        <w:t>Rashodi za materijal i energiju u razdoblju od 1. siječnja do 30. rujna 2025. godine ostvareni su u iznosu od 87.943,65 €, odnosno 86,7% ili 40.831,99 € više u odnosu na iste rashode ostvarene u promatranom razdoblju 2024. godine. Na rast navedenih rashoda utjecalo je povećanje rashoda za uredski materijal za 45%, rashoda za energiju (plin, električna energija) za 0,08% i rashoda za materijal i dijelove za tekuće i investicijsko održavanje (kameni materijal) za 1.835,6 %. Najveće povećanje rashoda vidljivo je kod rashoda za materijal i dijelove za tekuće i investicijsko održavanje i to zbog toga što je kameni materijal prošle godine bilo podijeljen na kraju godine tj. u zadnjem kvartalu, a ove godine ranije.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647.830,88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w:t>
            </w:r>
          </w:p>
        </w:tc>
      </w:tr>
    </w:tbl>
    <w:p>
      <w:pPr>
        <w:spacing w:before="0" w:after="0"/>
      </w:pPr>
    </w:p>
    <w:p>
      <w:pPr>
        <w:jc w:val="both"/>
        <w:pStyle w:val="Normal"/>
        <w:spacing w:line="240" w:lineRule="auto"/>
      </w:pPr>
      <w:r>
        <w:rPr>
          <w:sz w:val="24"/>
          <w:rFonts w:ascii="Times New Roman" w:hAnsi="Times New Roman"/>
        </w:rPr>
        <w:t>Rashodi za usluge u razdoblju od 1. siječnja do 30. rujna 2025. godine ostvareni su u iznosu od 647.830,88 €, odnosno 43,3% ili 195.796,55 € više u odnosu na iste rashode ostvarene u promatranom razdoblju 2024. godine. Na rast rashoda za usluge utjecalo je uvećanje sljedećih rashoda: rashoda za usluge telefona, interneta i poštarine za 9,8% ili 939,69 €, rashoda za usluge tekućeg i investicijskog održavanja (postrojenja i opreme, građevinskih objekata, prijevoznih sredstava) za 61,9% ili 155.292,61 € više, rashoda za komunalne usluge (odvoz smeća, opskrba vodom, deratizacija i dezinsekcija, dimnjačarske usluge, pričuva) za 30,3% ili 2.711,68 € više, rashoda za zakupnine i najamnine za 0,07% ili 416,54 € više,  rashoda za intelektualne i osobne usluge (javnobilježničke usluge, usluge odvjetnika i konzultantske usluge) za 52,4% ili 24.032,66 € više i rashoda za ostale nespomenute usluge (usluge pri registraciji prijevoznih vozila, usluge za izradu filma i rashodi za provedbu lokalnih izbora) za 57,2% ili 18.386,47 € više u odnosu na isto razdoblje 2024. godine. Kod rashoda za usluge, smanjenje bilježe usluge promidžbe i informiranja za 2,5% te zdravstvene i veterinarske usluge za 36,5%</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72.699,98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59.387,97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w:t>
            </w:r>
          </w:p>
        </w:tc>
      </w:tr>
    </w:tbl>
    <w:p>
      <w:pPr>
        <w:spacing w:before="0" w:after="0"/>
      </w:pPr>
    </w:p>
    <w:p>
      <w:pPr>
        <w:jc w:val="both"/>
        <w:pStyle w:val="Normal"/>
        <w:spacing w:line="240" w:lineRule="auto"/>
      </w:pPr>
      <w:r>
        <w:rPr>
          <w:sz w:val="24"/>
          <w:rFonts w:ascii="Times New Roman" w:hAnsi="Times New Roman"/>
        </w:rPr>
        <w:t>Ostali nespomenuti rashodi poslovanja u razdoblju od 1. siječnja do 30. rujna 2025. godine ostvareni su u iznosu od 59.387,97 €, odnosno 18,3% ili 13.312,01 € manje u odnosu na iste rashode ostvarene u promatranom razdoblju 2024. godine. Na smanjenje tih rashoda je utjecalo smanjenje rashoda za naknade za rad predstavničkih i izvršnih tijela, povjerenstava i slično za 13,3% ili 394,13 €, smanjenje rashoda reprezentacije za 54,7% ili 11.712,85 €, smanjenje ostalih nespomenutih rashoda poslovanja (rashodi protokola, slivna vodna naknada i civilna zaštita) za 25,7% ili 4.014,53 €. Ostalih rashodi bilježe povećanje i to rashodi za premije osiguranja povećanje za 19,8%, rashodi za članarine i norme od 80,5% te povećanje rashoda za pristojbe i naknade za 0,8% u odnosu na 2024. godinu.</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(šifre 3421 do 3428)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w:t>
            </w:r>
          </w:p>
        </w:tc>
      </w:tr>
    </w:tbl>
    <w:p>
      <w:pPr>
        <w:spacing w:before="0" w:after="0"/>
      </w:pPr>
    </w:p>
    <w:p>
      <w:pPr>
        <w:jc w:val="both"/>
        <w:pStyle w:val="Normal"/>
        <w:spacing w:line="240" w:lineRule="auto"/>
      </w:pPr>
      <w:r>
        <w:rPr>
          <w:sz w:val="24"/>
          <w:rFonts w:ascii="Times New Roman" w:hAnsi="Times New Roman"/>
        </w:rPr>
        <w:t>Rashodi za kamate za primljene kredite i zajmove u razdoblju od 1. siječnja do 30. rujna 2025. godine ostvareni su u iznosu od 11.986,30 €, odnosno 75,5%  ili 5.158,07 € više u odnosu na iste rashode ostvarene u promatranom razdoblju 2024. godine.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31.328,08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pPr>
        <w:jc w:val="both"/>
        <w:pStyle w:val="Normal"/>
        <w:spacing w:line="240" w:lineRule="auto"/>
      </w:pPr>
      <w:r>
        <w:rPr>
          <w:sz w:val="24"/>
          <w:rFonts w:ascii="Times New Roman" w:hAnsi="Times New Roman"/>
        </w:rPr>
        <w:t>Ostali financijski rashodi u razdoblju od 1. siječnja do 30. rujna 2025. godine ostvareni su u iznosu od 31.328,07 €, odnosno 17,8%  ili 4.723,13 € više u odnosu na iste rashode ostvarene u promatranom razdoblju 2024. godine. Na rast tih rashoda je utjecalo povećanje rashoda za bankarske usluge i usluge platnog prometa za 71,4% ili 1.956,93 € te povećanje ostalih nespomenutih financijskih rashoda (provizija Porezne uprave) za 114,4% ili 3.339,86 €. U navedenoj skupini rahoda samo rashodi za zatezne kamate bilježe smanjenje i to za 85,9% ili 573,66 € u odnosu na promatrano razdoblje 2024. godine.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409,0</w:t>
            </w:r>
          </w:p>
        </w:tc>
      </w:tr>
    </w:tbl>
    <w:p>
      <w:pPr>
        <w:spacing w:before="0" w:after="0"/>
      </w:pPr>
    </w:p>
    <w:p>
      <w:pPr>
        <w:jc w:val="both"/>
        <w:pStyle w:val="Normal"/>
        <w:spacing w:line="240" w:lineRule="auto"/>
      </w:pPr>
      <w:r>
        <w:rPr>
          <w:sz w:val="24"/>
          <w:rFonts w:ascii="Times New Roman" w:hAnsi="Times New Roman"/>
        </w:rPr>
        <w:t>Rashodi za navedene subvencije u razdoblju od 1. siječnja do 30. rujna 2025. godine ostvareni su u iznosu od 7.316,30 €, odnosno 309% ili 5.527,36 € više u odnosu na iste rashode ostvarene u promatranom razdoblju 2024. godine. Na rast tih rashoda je utjecalo uvećanje rashoda za subvencije trgovačkim društvima izvan javnog sektora tj. povećanje broja djece kojima se subvencionira boravak u vrtiću izvan Općine Krapinske Toplice.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244,3</w:t>
            </w:r>
          </w:p>
        </w:tc>
      </w:tr>
    </w:tbl>
    <w:p>
      <w:pPr>
        <w:spacing w:before="0" w:after="0"/>
      </w:pPr>
    </w:p>
    <w:p>
      <w:pPr>
        <w:jc w:val="both"/>
        <w:pStyle w:val="Normal"/>
        <w:spacing w:line="240" w:lineRule="auto"/>
      </w:pPr>
      <w:r>
        <w:rPr>
          <w:sz w:val="24"/>
          <w:rFonts w:ascii="Times New Roman" w:hAnsi="Times New Roman"/>
        </w:rPr>
        <w:t>Rashodi za navedene pomoći u razdoblju od 1. siječnja do 30. rujna 2025. godine ostvareni su u iznosu od 6.544,21 €, odnosno 144,3%  ili 3.865,38 € više u odnosu na iste rashode ostvarene u promatranom razdoblju 2024. godine. Na povećanje tih rashoda je najviše utjecalo povećanje tekuće pomoći drugom proračunu i izvanproračunskim korisnicima tj. troškovi zajedničkog poljoprivrednog redara.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129,8</w:t>
            </w:r>
          </w:p>
        </w:tc>
      </w:tr>
    </w:tbl>
    <w:p>
      <w:pPr>
        <w:spacing w:before="0" w:after="0"/>
      </w:pPr>
    </w:p>
    <w:p>
      <w:pPr>
        <w:jc w:val="both"/>
        <w:pStyle w:val="Normal"/>
        <w:spacing w:line="240" w:lineRule="auto"/>
      </w:pPr>
      <w:r>
        <w:rPr>
          <w:sz w:val="24"/>
          <w:rFonts w:ascii="Times New Roman" w:hAnsi="Times New Roman"/>
        </w:rPr>
        <w:t>Rashodi za navedene pomoći u razdoblju od 1. siječnja do 30. rujna 2025. godine ostvareni su u iznosu od 10.798,04 €, odnosno 29,8% ili 2.480,84 € više u odnosu na iste rashode ostvarene u promatranom razdoblju 2024. godine. Na rast tih rashoda je najviše utjecalo povećanje  tekućih pomoći proračunskim korisnicima drugih proračuna, tj. sufinanciranje pomoćnika u nastavi.  </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541.134,99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738.570,29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w:t>
            </w:r>
          </w:p>
        </w:tc>
      </w:tr>
    </w:tbl>
    <w:p>
      <w:pPr>
        <w:spacing w:before="0" w:after="0"/>
      </w:pPr>
    </w:p>
    <w:p>
      <w:pPr>
        <w:jc w:val="both"/>
        <w:pStyle w:val="Normal"/>
        <w:spacing w:line="240" w:lineRule="auto"/>
      </w:pPr>
      <w:r>
        <w:rPr>
          <w:sz w:val="24"/>
          <w:rFonts w:ascii="Times New Roman" w:hAnsi="Times New Roman"/>
        </w:rPr>
        <w:t>Rashodi za prijenose proračunskim korisnicima iz nadležnog proračuna za financiranje redovne djelatnosti u razdoblju od 1. siječnja do 30. rujna 2025. godine ostvareni su u iznosu od 738.570,29 €, odnosno 36,5% ili 197.435,30 € više u odnosu na iste rashode ostvarene u promatranom razdoblju 2024. godine. Na rast tih rashoda je najviše utjecalo povećanje osnovica za plaću djelatika Dječjeg vrtića Maslačak i Općinske knjižnice Općine Krapinske Toplice. </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110.956,51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pPr>
        <w:jc w:val="both"/>
        <w:pStyle w:val="Normal"/>
        <w:spacing w:line="240" w:lineRule="auto"/>
      </w:pPr>
      <w:r>
        <w:rPr>
          <w:sz w:val="24"/>
          <w:rFonts w:ascii="Times New Roman" w:hAnsi="Times New Roman"/>
        </w:rPr>
        <w:t> Rashodi za ostale naknade građanima i kućanstvima od 1. siječnja do 30. rujna 2025. godine ostvareni su u iznosu od 127.604,91 €, odnosno bilježe povećanje za 15% ili 16.648,40 € više u odnosu na iste rashode ostvarene u promatranom razdoblju 2024. godine. Na rast tih rashoda je utjecalo uvećanje naknada građanima i kućanstvima u novcu (jednokratne novčane pomoći, stipendije za učenike i studente, oprema za novorođenčad) za 23,2% ili 10.532,33 € i naknade građanima i kućanstvima u naravi (sufinanciranje prijevoza srednjoškolcima, troškovi stanovanja i prehrana) za 9,3% ili 6.116,07 €. Za sve su naknade u novcu povećani iznosi koji se isplaćuju, stoga je i za očekivati povećanje rashoda.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287.278,57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428.024,52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w:t>
            </w:r>
          </w:p>
        </w:tc>
      </w:tr>
    </w:tbl>
    <w:p>
      <w:pPr>
        <w:spacing w:before="0" w:after="0"/>
      </w:pPr>
    </w:p>
    <w:p>
      <w:pPr>
        <w:jc w:val="both"/>
        <w:pStyle w:val="Normal"/>
        <w:spacing w:line="240" w:lineRule="auto"/>
      </w:pPr>
      <w:r>
        <w:rPr>
          <w:sz w:val="24"/>
          <w:rFonts w:ascii="Times New Roman" w:hAnsi="Times New Roman"/>
        </w:rPr>
        <w:t>Rashodi za tekuće donacije u razdoblju od 1. siječnja do 30. rujna 2025. godine ostvareni su u iznosu od 428.024,52 €, odnosno bilježe povećanje od 49% ili 140.745,95 € više u odnosu na iste rashode ostvarene u promatranom razdoblju 2024. godine. Tekuće donacije odnose se na donacije vjerskim zajednicama, financiranje političkih stranaka, financiranje udruga, financiranje sportske zajednice, financiranje Gradskog crvenog križa Zabok, Vatrogasne zajednice Općine Krapinske Toplice, Javne vatrogasne postrojbe Zabok, te financiranje Turističke zajednice Srce zagorja. </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prijevoznih sredstava (šifre 7231 do 7234)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od prodaje prijevoznih sredstava u razdoblju od 1. siječnja do 30. rujna 2025. godine ostvareni su u iznosu od 1.292,00 €, a navedeni nisu ostvareni u promatranom razdoblju 2024. godine. Prihodi se odnose na prihode od prodaje kombi vozila. </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576.676,68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2.044.468,58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354,5</w:t>
            </w:r>
          </w:p>
        </w:tc>
      </w:tr>
    </w:tbl>
    <w:p>
      <w:pPr>
        <w:spacing w:before="0" w:after="0"/>
      </w:pPr>
    </w:p>
    <w:p>
      <w:pPr>
        <w:jc w:val="both"/>
        <w:pStyle w:val="Normal"/>
        <w:spacing w:line="240" w:lineRule="auto"/>
      </w:pPr>
      <w:r>
        <w:rPr>
          <w:sz w:val="24"/>
          <w:rFonts w:ascii="Times New Roman" w:hAnsi="Times New Roman"/>
        </w:rPr>
        <w:t>Od 1. siječnja do 30. rujna 2025. godine ostvareni su rashodi u iznosu od 2.044.468,58 €, odnosno 254,5% ili 1.467.791,90 € više nego u istom razdoblju 2024. godine. Rashodi za ceste, željeznice i ostale prometne objekte iznose 1.260.277,07 €, odnosno bilježe povećanje za 146,8% ili 749.608,27 €, rashodi za ostale građevinske objekte iznose 781.685,11 €, odnosno bilježe povećanje za 1.084,20 % ili 715.677,20 €. Na rast ovih rashoda je utjecala izgradnja nogostupa, izgradnja parkirališta, šetnice i mosta te rashodi za javnu rasvjetu i autobusna stajališta. </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 1. siječnja do 30. rujna 2025. godine ostvareni su rashodi u iznosu od 10.361,75 €, odnosno bilježe povećanje pošto u prethodnoj godini nisu bili ostvareni. Na rast ovih rashoda utjecalo je povećanje rashoda za ulaganje u računalne programe i rashodi za izradu prostornog i urbanističkog plana.</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i zajmova od kreditnih i ostalih financijskih institucija u javnom sektoru (šifre 5422 do 5424)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110.523,37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22.095,23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pPr>
        <w:jc w:val="both"/>
        <w:pStyle w:val="Normal"/>
        <w:spacing w:line="240" w:lineRule="auto"/>
      </w:pPr>
      <w:r>
        <w:rPr>
          <w:sz w:val="24"/>
          <w:rFonts w:ascii="Times New Roman" w:hAnsi="Times New Roman"/>
        </w:rPr>
        <w:t>Od 1. siječnja do 30. rujna 2025. godine izdaci za otplatu glavnice ostvareni su u iznosu od 22.095,23 €, odnosno bilježe smanjenje za 80% ili 88.428,14 € zbog završene otplate dugoročnog kredita za izgradnju Dječjeg vrtića Maslačak</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i zajmova od kreditnih i ostalih financijskih institucija izvan javnog sektora (šifre 5443 do 5448)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98,5</w:t>
            </w:r>
          </w:p>
        </w:tc>
      </w:tr>
    </w:tbl>
    <w:p>
      <w:pPr>
        <w:spacing w:before="0" w:after="0"/>
      </w:pPr>
    </w:p>
    <w:p>
      <w:pPr>
        <w:jc w:val="both"/>
        <w:pStyle w:val="Normal"/>
        <w:spacing w:line="240" w:lineRule="auto"/>
      </w:pPr>
      <w:r>
        <w:rPr>
          <w:sz w:val="24"/>
          <w:rFonts w:ascii="Times New Roman" w:hAnsi="Times New Roman"/>
        </w:rPr>
        <w:t>Od 1. siječnja do 30. rujna 2025. godine izdaci za otplatu glavnice ostvareni su u iznosu od 10.163,50 €, odnosno bilježe smanjenje za 1,5%, a isto se odnosi na otplatu leasinga koji je gotov.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780.372,49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Povećanje obveza u izvještajnom razdoblju iznosi 4.121.665,72 €, a isto se sastoji od obveza za rashode poslovanja, obveza za nabavu nefinancijske imovine, obveza za financijsku imovinu i obveza za predujmove, depozite, jamčevne pologe i tuđe prihode, dok je početno stanje 01.01.2025. godine 793.320,70 € što čini ukupno 4.914.98642 € obveza. U izvještajnom razdoblju podmirene su obveze u ukupnom iznosu od 3.073.199,95 € te na kraju izvještajnog razdoblja tj. sa 30.09.2025. godine stanje obveza iznosi 1.841.786,47 €.  Dospjele obveze na kraju izvještajnog razdoblja iznose 780.372,49 €, dok iznos nedospjelih obveza iznosi 1.061.413,98 € i to za obveze za rashode poslovanja, nabavu nefinancijske imovine, obveze za financijsku imovinu i obveze za predujmove, depozite, jamčevne pologe i tuđe prihode. Stanje dospjelih obveza na kraju devetomjesečnog razdoblja rezultat je raskoraka u dinamici ostvarenja prihoda u odnosu na dospjele obveze.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b6d37f202a94d6b" /></Relationships>
</file>